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F7586">
      <w:pPr>
        <w:snapToGrid w:val="0"/>
        <w:spacing w:line="360" w:lineRule="auto"/>
        <w:rPr>
          <w:rFonts w:eastAsia="黑体"/>
          <w:bCs/>
          <w:color w:val="auto"/>
          <w:sz w:val="28"/>
          <w:szCs w:val="28"/>
          <w:highlight w:val="none"/>
        </w:rPr>
      </w:pPr>
    </w:p>
    <w:p w14:paraId="7E762C3F">
      <w:pPr>
        <w:spacing w:line="360" w:lineRule="auto"/>
        <w:jc w:val="center"/>
        <w:rPr>
          <w:rFonts w:eastAsia="微软雅黑"/>
          <w:b/>
          <w:color w:val="auto"/>
          <w:sz w:val="36"/>
          <w:szCs w:val="36"/>
          <w:highlight w:val="none"/>
        </w:rPr>
      </w:pPr>
      <w:r>
        <w:rPr>
          <w:rFonts w:eastAsia="微软雅黑"/>
          <w:b/>
          <w:color w:val="auto"/>
          <w:sz w:val="36"/>
          <w:szCs w:val="36"/>
          <w:highlight w:val="none"/>
        </w:rPr>
        <w:t>中山大学</w:t>
      </w:r>
    </w:p>
    <w:p w14:paraId="29A294DD">
      <w:pPr>
        <w:spacing w:line="360" w:lineRule="auto"/>
        <w:jc w:val="center"/>
        <w:rPr>
          <w:rFonts w:eastAsia="微软雅黑"/>
          <w:b/>
          <w:color w:val="auto"/>
          <w:sz w:val="32"/>
          <w:szCs w:val="32"/>
          <w:highlight w:val="none"/>
        </w:rPr>
      </w:pPr>
      <w:r>
        <w:rPr>
          <w:rFonts w:hint="eastAsia" w:ascii="Times New Roman" w:hAnsi="Times New Roman" w:eastAsia="微软雅黑" w:cs="Times New Roman"/>
          <w:b/>
          <w:color w:val="auto"/>
          <w:sz w:val="32"/>
          <w:szCs w:val="32"/>
          <w:highlight w:val="none"/>
          <w:lang w:val="en-US" w:eastAsia="zh-CN"/>
        </w:rPr>
        <w:t>计算机技术</w:t>
      </w:r>
      <w:r>
        <w:rPr>
          <w:rFonts w:ascii="Times New Roman" w:hAnsi="Times New Roman" w:eastAsia="微软雅黑" w:cs="Times New Roman"/>
          <w:b/>
          <w:color w:val="auto"/>
          <w:sz w:val="32"/>
          <w:szCs w:val="32"/>
          <w:highlight w:val="none"/>
        </w:rPr>
        <w:t>（0854</w:t>
      </w:r>
      <w:r>
        <w:rPr>
          <w:rFonts w:hint="eastAsia" w:ascii="Times New Roman" w:hAnsi="Times New Roman" w:eastAsia="微软雅黑" w:cs="Times New Roman"/>
          <w:b/>
          <w:color w:val="auto"/>
          <w:sz w:val="32"/>
          <w:szCs w:val="32"/>
          <w:highlight w:val="none"/>
          <w:lang w:val="en-US" w:eastAsia="zh-CN"/>
        </w:rPr>
        <w:t>04</w:t>
      </w:r>
      <w:r>
        <w:rPr>
          <w:rFonts w:ascii="Times New Roman" w:hAnsi="Times New Roman" w:eastAsia="微软雅黑" w:cs="Times New Roman"/>
          <w:b/>
          <w:color w:val="auto"/>
          <w:sz w:val="32"/>
          <w:szCs w:val="32"/>
          <w:highlight w:val="none"/>
        </w:rPr>
        <w:t>）</w:t>
      </w:r>
      <w:r>
        <w:rPr>
          <w:rFonts w:eastAsia="微软雅黑"/>
          <w:b/>
          <w:color w:val="auto"/>
          <w:sz w:val="32"/>
          <w:szCs w:val="32"/>
          <w:highlight w:val="none"/>
        </w:rPr>
        <w:t>专业学位</w:t>
      </w:r>
      <w:r>
        <w:rPr>
          <w:rFonts w:hint="eastAsia" w:eastAsia="微软雅黑"/>
          <w:b/>
          <w:color w:val="auto"/>
          <w:sz w:val="32"/>
          <w:szCs w:val="32"/>
          <w:highlight w:val="none"/>
        </w:rPr>
        <w:t>连贯培养博士</w:t>
      </w:r>
      <w:r>
        <w:rPr>
          <w:rFonts w:eastAsia="微软雅黑"/>
          <w:b/>
          <w:color w:val="auto"/>
          <w:sz w:val="32"/>
          <w:szCs w:val="32"/>
          <w:highlight w:val="none"/>
        </w:rPr>
        <w:t>研究生培养方案</w:t>
      </w:r>
    </w:p>
    <w:p w14:paraId="345E08FF">
      <w:pPr>
        <w:snapToGrid w:val="0"/>
        <w:spacing w:line="360" w:lineRule="auto"/>
        <w:ind w:firstLine="570"/>
        <w:jc w:val="center"/>
        <w:rPr>
          <w:rFonts w:hint="eastAsia" w:eastAsia="微软雅黑"/>
          <w:color w:val="auto"/>
          <w:sz w:val="28"/>
          <w:szCs w:val="28"/>
          <w:highlight w:val="none"/>
          <w:lang w:val="en-US" w:eastAsia="zh-CN"/>
        </w:rPr>
      </w:pPr>
      <w:r>
        <w:rPr>
          <w:rFonts w:eastAsia="微软雅黑"/>
          <w:color w:val="auto"/>
          <w:sz w:val="28"/>
          <w:szCs w:val="28"/>
          <w:highlight w:val="none"/>
        </w:rPr>
        <w:t>（从</w:t>
      </w:r>
      <w:r>
        <w:rPr>
          <w:rFonts w:hint="eastAsia" w:ascii="Times New Roman" w:hAnsi="Times New Roman" w:eastAsia="微软雅黑" w:cs="Times New Roman"/>
          <w:b/>
          <w:color w:val="auto"/>
          <w:sz w:val="32"/>
          <w:szCs w:val="32"/>
          <w:highlight w:val="none"/>
          <w:lang w:val="en-US" w:eastAsia="zh-CN"/>
        </w:rPr>
        <w:t>2026</w:t>
      </w:r>
      <w:r>
        <w:rPr>
          <w:rFonts w:eastAsia="微软雅黑"/>
          <w:color w:val="auto"/>
          <w:sz w:val="28"/>
          <w:szCs w:val="28"/>
          <w:highlight w:val="none"/>
        </w:rPr>
        <w:t>年级开始执</w:t>
      </w:r>
      <w:r>
        <w:rPr>
          <w:rFonts w:hint="eastAsia" w:eastAsia="微软雅黑"/>
          <w:color w:val="auto"/>
          <w:sz w:val="28"/>
          <w:szCs w:val="28"/>
          <w:highlight w:val="none"/>
          <w:lang w:val="en-US" w:eastAsia="zh-CN"/>
        </w:rPr>
        <w:t>行）</w:t>
      </w:r>
    </w:p>
    <w:p w14:paraId="4490BA36">
      <w:pPr>
        <w:pStyle w:val="2"/>
        <w:rPr>
          <w:rFonts w:hint="eastAsia"/>
          <w:lang w:val="en-US" w:eastAsia="zh-CN"/>
        </w:rPr>
      </w:pPr>
    </w:p>
    <w:p w14:paraId="356D2D12">
      <w:pPr>
        <w:numPr>
          <w:ilvl w:val="0"/>
          <w:numId w:val="1"/>
        </w:numPr>
        <w:spacing w:line="500" w:lineRule="exact"/>
        <w:ind w:left="147"/>
        <w:rPr>
          <w:rFonts w:ascii="Times New Roman" w:hAnsi="Times New Roman" w:eastAsia="黑体" w:cs="Times New Roman"/>
          <w:bCs/>
          <w:color w:val="auto"/>
          <w:sz w:val="32"/>
          <w:szCs w:val="32"/>
          <w:highlight w:val="none"/>
        </w:rPr>
      </w:pPr>
      <w:r>
        <w:rPr>
          <w:rFonts w:ascii="Times New Roman" w:hAnsi="Times New Roman" w:eastAsia="黑体" w:cs="Times New Roman"/>
          <w:bCs/>
          <w:color w:val="auto"/>
          <w:sz w:val="32"/>
          <w:szCs w:val="32"/>
          <w:highlight w:val="none"/>
        </w:rPr>
        <w:t>培养目标与基本要求</w:t>
      </w:r>
    </w:p>
    <w:p w14:paraId="3E5BCB8B">
      <w:pPr>
        <w:adjustRightInd w:val="0"/>
        <w:snapToGrid w:val="0"/>
        <w:spacing w:line="540" w:lineRule="atLeast"/>
        <w:ind w:firstLine="560" w:firstLineChars="200"/>
        <w:rPr>
          <w:rFonts w:eastAsia="仿宋_GB2312"/>
          <w:color w:val="auto"/>
          <w:sz w:val="28"/>
          <w:szCs w:val="28"/>
          <w:highlight w:val="none"/>
        </w:rPr>
      </w:pPr>
      <w:r>
        <w:rPr>
          <w:rFonts w:hint="eastAsia" w:eastAsia="仿宋_GB2312"/>
          <w:color w:val="auto"/>
          <w:sz w:val="28"/>
          <w:szCs w:val="28"/>
          <w:highlight w:val="none"/>
        </w:rPr>
        <w:t>本专业</w:t>
      </w:r>
      <w:r>
        <w:rPr>
          <w:rFonts w:eastAsia="仿宋_GB2312"/>
          <w:color w:val="auto"/>
          <w:sz w:val="28"/>
          <w:szCs w:val="28"/>
          <w:highlight w:val="none"/>
        </w:rPr>
        <w:t>以习近平新时代中国特色社会主义思想为指导，全面贯彻党的教育方针，以立德树人为根本，以理想信念教育为核心，培养德智体美劳全面发展，具有社会责任感和创新精神的高层次人才。</w:t>
      </w:r>
    </w:p>
    <w:p w14:paraId="6A1A090A">
      <w:pPr>
        <w:adjustRightInd w:val="0"/>
        <w:snapToGrid w:val="0"/>
        <w:spacing w:line="540" w:lineRule="atLeast"/>
        <w:ind w:firstLine="560" w:firstLineChars="200"/>
        <w:rPr>
          <w:rFonts w:eastAsia="仿宋_GB2312"/>
          <w:color w:val="auto"/>
          <w:sz w:val="28"/>
          <w:szCs w:val="28"/>
          <w:highlight w:val="none"/>
        </w:rPr>
      </w:pPr>
      <w:r>
        <w:rPr>
          <w:rFonts w:hint="eastAsia" w:eastAsia="仿宋_GB2312"/>
          <w:color w:val="auto"/>
          <w:sz w:val="28"/>
          <w:szCs w:val="28"/>
          <w:highlight w:val="none"/>
        </w:rPr>
        <w:t>本专业培养</w:t>
      </w:r>
      <w:r>
        <w:rPr>
          <w:rFonts w:eastAsia="仿宋_GB2312"/>
          <w:color w:val="auto"/>
          <w:sz w:val="28"/>
          <w:szCs w:val="28"/>
          <w:highlight w:val="none"/>
        </w:rPr>
        <w:t>具有电子信息工程领域坚实宽广的理论基础和系统深入的专门知识，掌握先进技术方法和手段，在领域的某一方向具有独立从事工程设计、实施，研究、开发、管理等能力，具备解决复杂工程技术问题、进行工程技术创新以及组织实施高水平工程技术项目等能力，较为熟练地掌握一门外国语，具有严谨学术素养、社会责任感、创新精神和国际视野的创新型工程技术专门人才。</w:t>
      </w:r>
    </w:p>
    <w:p w14:paraId="553AF927">
      <w:pPr>
        <w:pStyle w:val="2"/>
      </w:pPr>
    </w:p>
    <w:p w14:paraId="1FA08DA3">
      <w:pPr>
        <w:numPr>
          <w:ilvl w:val="0"/>
          <w:numId w:val="1"/>
        </w:numPr>
        <w:spacing w:line="500" w:lineRule="exact"/>
        <w:ind w:left="147"/>
        <w:rPr>
          <w:rFonts w:ascii="Times New Roman" w:hAnsi="Times New Roman" w:eastAsia="黑体" w:cs="Times New Roman"/>
          <w:bCs/>
          <w:color w:val="auto"/>
          <w:sz w:val="32"/>
          <w:szCs w:val="32"/>
          <w:highlight w:val="none"/>
        </w:rPr>
      </w:pPr>
      <w:r>
        <w:rPr>
          <w:rFonts w:ascii="Times New Roman" w:hAnsi="Times New Roman" w:eastAsia="黑体" w:cs="Times New Roman"/>
          <w:bCs/>
          <w:color w:val="auto"/>
          <w:sz w:val="32"/>
          <w:szCs w:val="32"/>
          <w:highlight w:val="none"/>
        </w:rPr>
        <w:t>学习方式及学制</w:t>
      </w:r>
    </w:p>
    <w:p w14:paraId="49B19C54">
      <w:pPr>
        <w:adjustRightInd w:val="0"/>
        <w:snapToGrid w:val="0"/>
        <w:spacing w:line="540" w:lineRule="atLeast"/>
        <w:ind w:firstLine="562" w:firstLineChars="200"/>
        <w:jc w:val="left"/>
        <w:rPr>
          <w:rFonts w:eastAsia="仿宋_GB2312"/>
          <w:color w:val="auto"/>
          <w:sz w:val="28"/>
          <w:szCs w:val="28"/>
          <w:highlight w:val="none"/>
        </w:rPr>
      </w:pPr>
      <w:r>
        <w:rPr>
          <w:rFonts w:hint="eastAsia" w:eastAsia="仿宋_GB2312"/>
          <w:b/>
          <w:bCs/>
          <w:color w:val="auto"/>
          <w:sz w:val="28"/>
          <w:szCs w:val="28"/>
          <w:highlight w:val="none"/>
        </w:rPr>
        <w:t>硕博连读生：</w:t>
      </w:r>
      <w:r>
        <w:rPr>
          <w:rFonts w:hint="eastAsia" w:eastAsia="仿宋_GB2312"/>
          <w:color w:val="auto"/>
          <w:sz w:val="28"/>
          <w:szCs w:val="28"/>
          <w:highlight w:val="none"/>
        </w:rPr>
        <w:t>由硕士研究生直接转读博士研究生，学制五年，其中硕士阶段两年，博士阶段三年。</w:t>
      </w:r>
    </w:p>
    <w:p w14:paraId="0936FF73">
      <w:pPr>
        <w:adjustRightInd w:val="0"/>
        <w:snapToGrid w:val="0"/>
        <w:spacing w:line="540" w:lineRule="atLeast"/>
        <w:ind w:firstLine="562" w:firstLineChars="200"/>
        <w:jc w:val="left"/>
        <w:rPr>
          <w:rFonts w:eastAsia="仿宋_GB2312"/>
          <w:color w:val="auto"/>
          <w:sz w:val="28"/>
          <w:szCs w:val="28"/>
          <w:highlight w:val="none"/>
        </w:rPr>
      </w:pPr>
      <w:r>
        <w:rPr>
          <w:rFonts w:hint="eastAsia" w:eastAsia="仿宋_GB2312"/>
          <w:b/>
          <w:bCs/>
          <w:color w:val="auto"/>
          <w:sz w:val="28"/>
          <w:szCs w:val="28"/>
          <w:highlight w:val="none"/>
        </w:rPr>
        <w:t>直博生：</w:t>
      </w:r>
      <w:r>
        <w:rPr>
          <w:rFonts w:hint="eastAsia" w:eastAsia="仿宋_GB2312"/>
          <w:color w:val="auto"/>
          <w:sz w:val="28"/>
          <w:szCs w:val="28"/>
          <w:highlight w:val="none"/>
        </w:rPr>
        <w:t>由本科生直接攻读博士研究生，学制五年。</w:t>
      </w:r>
    </w:p>
    <w:p w14:paraId="05969545">
      <w:pPr>
        <w:adjustRightInd w:val="0"/>
        <w:snapToGrid w:val="0"/>
        <w:spacing w:line="540" w:lineRule="atLeast"/>
        <w:ind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rPr>
        <w:t>因特殊原因不能按期完成学业者，须按学籍管理的有关规定提出申请， 经导师及学院同意，研究生院批准，可适当延长学习年限，每次申请延长年限不超过 1 年；从博士入学时间算起最长学习年限不超过 8 年。</w:t>
      </w:r>
    </w:p>
    <w:p w14:paraId="1C6EE135">
      <w:pPr>
        <w:pStyle w:val="2"/>
      </w:pPr>
    </w:p>
    <w:p w14:paraId="31D47135">
      <w:pPr>
        <w:numPr>
          <w:ilvl w:val="0"/>
          <w:numId w:val="1"/>
        </w:numPr>
        <w:spacing w:line="500" w:lineRule="exact"/>
        <w:ind w:left="147"/>
        <w:rPr>
          <w:rFonts w:ascii="Times New Roman" w:hAnsi="Times New Roman" w:eastAsia="黑体" w:cs="Times New Roman"/>
          <w:bCs/>
          <w:color w:val="auto"/>
          <w:sz w:val="32"/>
          <w:szCs w:val="32"/>
          <w:highlight w:val="none"/>
        </w:rPr>
      </w:pPr>
      <w:r>
        <w:rPr>
          <w:rFonts w:ascii="Times New Roman" w:hAnsi="Times New Roman" w:eastAsia="黑体" w:cs="Times New Roman"/>
          <w:bCs/>
          <w:color w:val="auto"/>
          <w:sz w:val="32"/>
          <w:szCs w:val="32"/>
          <w:highlight w:val="none"/>
        </w:rPr>
        <w:t>专业学位领域（方向）</w:t>
      </w:r>
    </w:p>
    <w:p w14:paraId="0337AE24">
      <w:pPr>
        <w:spacing w:line="540" w:lineRule="atLeast"/>
        <w:ind w:firstLine="560" w:firstLineChars="200"/>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本</w:t>
      </w:r>
      <w:r>
        <w:rPr>
          <w:rFonts w:hint="default" w:ascii="Times New Roman" w:hAnsi="Times New Roman" w:eastAsia="仿宋_GB2312" w:cs="Times New Roman"/>
          <w:color w:val="auto"/>
          <w:sz w:val="28"/>
          <w:szCs w:val="28"/>
          <w:highlight w:val="none"/>
          <w:lang w:val="en-US" w:eastAsia="zh-CN"/>
        </w:rPr>
        <w:t>专</w:t>
      </w:r>
      <w:r>
        <w:rPr>
          <w:rFonts w:hint="default" w:ascii="Times New Roman" w:hAnsi="Times New Roman" w:eastAsia="仿宋_GB2312" w:cs="Times New Roman"/>
          <w:color w:val="auto"/>
          <w:sz w:val="28"/>
          <w:szCs w:val="28"/>
          <w:highlight w:val="none"/>
        </w:rPr>
        <w:t>业学位</w:t>
      </w:r>
      <w:r>
        <w:rPr>
          <w:rFonts w:hint="default" w:ascii="Times New Roman" w:hAnsi="Times New Roman" w:eastAsia="仿宋_GB2312" w:cs="Times New Roman"/>
          <w:color w:val="auto"/>
          <w:sz w:val="28"/>
          <w:szCs w:val="28"/>
          <w:highlight w:val="none"/>
          <w:lang w:eastAsia="zh-CN"/>
        </w:rPr>
        <w:t>的</w:t>
      </w:r>
      <w:r>
        <w:rPr>
          <w:rFonts w:hint="default" w:ascii="Times New Roman" w:hAnsi="Times New Roman" w:eastAsia="仿宋_GB2312" w:cs="Times New Roman"/>
          <w:color w:val="auto"/>
          <w:sz w:val="28"/>
          <w:szCs w:val="28"/>
          <w:highlight w:val="none"/>
          <w:lang w:val="en-US" w:eastAsia="zh-CN"/>
        </w:rPr>
        <w:t>特色</w:t>
      </w:r>
      <w:r>
        <w:rPr>
          <w:rFonts w:hint="default" w:ascii="Times New Roman" w:hAnsi="Times New Roman" w:eastAsia="仿宋_GB2312" w:cs="Times New Roman"/>
          <w:color w:val="auto"/>
          <w:sz w:val="28"/>
          <w:szCs w:val="28"/>
          <w:highlight w:val="none"/>
        </w:rPr>
        <w:t>领域</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方向</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涵盖了</w:t>
      </w:r>
      <w:r>
        <w:rPr>
          <w:rFonts w:hint="default" w:ascii="Times New Roman" w:hAnsi="Times New Roman" w:eastAsia="仿宋_GB2312" w:cs="Times New Roman"/>
          <w:color w:val="auto"/>
          <w:sz w:val="28"/>
          <w:szCs w:val="28"/>
          <w:highlight w:val="none"/>
          <w:lang w:eastAsia="zh-CN"/>
        </w:rPr>
        <w:t>新一代电子信息技术、通信工程、集成电路工程、计算机</w:t>
      </w:r>
      <w:r>
        <w:rPr>
          <w:rFonts w:hint="default" w:ascii="Times New Roman" w:hAnsi="Times New Roman" w:eastAsia="仿宋_GB2312" w:cs="Times New Roman"/>
          <w:color w:val="auto"/>
          <w:sz w:val="28"/>
          <w:szCs w:val="28"/>
          <w:highlight w:val="none"/>
          <w:lang w:val="en-US" w:eastAsia="zh-CN"/>
        </w:rPr>
        <w:t>技术</w:t>
      </w:r>
      <w:r>
        <w:rPr>
          <w:rFonts w:hint="default" w:ascii="Times New Roman" w:hAnsi="Times New Roman" w:eastAsia="仿宋_GB2312" w:cs="Times New Roman"/>
          <w:color w:val="auto"/>
          <w:sz w:val="28"/>
          <w:szCs w:val="28"/>
          <w:highlight w:val="none"/>
          <w:lang w:eastAsia="zh-CN"/>
        </w:rPr>
        <w:t>、软件工程、控制工程、光电信息工程、生物医学工程、人工智能、网络与信息安全等专业领域及其相关技术研究、产品开发等，</w:t>
      </w:r>
      <w:r>
        <w:rPr>
          <w:rFonts w:hint="default" w:ascii="Times New Roman" w:hAnsi="Times New Roman" w:eastAsia="仿宋_GB2312" w:cs="Times New Roman"/>
          <w:color w:val="auto"/>
          <w:sz w:val="28"/>
          <w:szCs w:val="28"/>
          <w:highlight w:val="none"/>
          <w:lang w:val="en-US" w:eastAsia="zh-CN"/>
        </w:rPr>
        <w:t>各领域细分方向如下：</w:t>
      </w:r>
    </w:p>
    <w:p w14:paraId="577E3150">
      <w:pPr>
        <w:spacing w:line="540" w:lineRule="atLeast"/>
        <w:ind w:firstLine="562" w:firstLineChars="200"/>
        <w:rPr>
          <w:rFonts w:hint="default" w:ascii="Times New Roman" w:hAnsi="Times New Roman" w:eastAsia="仿宋_GB2312" w:cs="Times New Roman"/>
          <w:b w:val="0"/>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1.新一代电子信息技术（含量子技术等）：</w:t>
      </w:r>
      <w:r>
        <w:rPr>
          <w:rFonts w:ascii="仿宋_GB2312" w:hAnsi="仿宋_GB2312" w:eastAsia="仿宋_GB2312" w:cs="仿宋_GB2312"/>
          <w:b w:val="0"/>
          <w:i w:val="0"/>
          <w:strike w:val="0"/>
          <w:color w:val="auto"/>
          <w:spacing w:val="0"/>
          <w:sz w:val="28"/>
          <w:highlight w:val="none"/>
          <w:u w:val="none"/>
        </w:rPr>
        <w:t>主要面向通信、雷达、导航定位、遥感遥测、电磁频谱感知、电子侦察与对抗、微波光子、广播电视、互联网、虚拟现实等行业和技术领域方向；</w:t>
      </w:r>
    </w:p>
    <w:p w14:paraId="0EC3D7CA">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2.通信工程（含宽带网络、移动通信等）：</w:t>
      </w:r>
      <w:r>
        <w:rPr>
          <w:rFonts w:hint="default" w:ascii="Times New Roman" w:hAnsi="Times New Roman" w:eastAsia="仿宋_GB2312" w:cs="Times New Roman"/>
          <w:color w:val="auto"/>
          <w:sz w:val="28"/>
          <w:szCs w:val="28"/>
          <w:highlight w:val="none"/>
        </w:rPr>
        <w:t>主要面向宽带网络、移动通信、光纤通信、卫星通信、图像处理、数据传输、微波转发、信号与信息处理、通信电路等行业与技术领域方向；</w:t>
      </w:r>
    </w:p>
    <w:p w14:paraId="13F34492">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3.集成电路工程</w:t>
      </w:r>
      <w:r>
        <w:rPr>
          <w:rFonts w:hint="default" w:ascii="Times New Roman" w:hAnsi="Times New Roman" w:eastAsia="仿宋_GB2312" w:cs="Times New Roman"/>
          <w:color w:val="auto"/>
          <w:sz w:val="28"/>
          <w:szCs w:val="28"/>
          <w:highlight w:val="none"/>
          <w:lang w:eastAsia="zh-CN"/>
        </w:rPr>
        <w:t>：主要面向集成电路设计及其自动化、集成电路工艺与微系统集成等行业与技术领域方向；</w:t>
      </w:r>
    </w:p>
    <w:p w14:paraId="5D65B10B">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4.计算机技术</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计算机系统结构、计算机软件与理论、网络与信息安全、数据科学与大数据技术、人工智能、智能无人系统</w:t>
      </w:r>
      <w:r>
        <w:rPr>
          <w:rFonts w:hint="eastAsia" w:ascii="仿宋_GB2312" w:hAnsi="仿宋_GB2312" w:eastAsia="仿宋_GB2312" w:cs="仿宋_GB2312"/>
          <w:b w:val="0"/>
          <w:i w:val="0"/>
          <w:strike w:val="0"/>
          <w:color w:val="auto"/>
          <w:spacing w:val="0"/>
          <w:sz w:val="28"/>
          <w:highlight w:val="none"/>
          <w:u w:val="none"/>
          <w:lang w:eastAsia="zh-CN"/>
        </w:rPr>
        <w:t>、</w:t>
      </w:r>
      <w:r>
        <w:rPr>
          <w:rFonts w:hint="eastAsia" w:ascii="Times New Roman" w:hAnsi="Times New Roman" w:eastAsia="仿宋_GB2312" w:cs="Times New Roman"/>
          <w:color w:val="auto"/>
          <w:sz w:val="28"/>
          <w:szCs w:val="28"/>
          <w:highlight w:val="none"/>
          <w:lang w:val="en-US" w:eastAsia="zh-CN"/>
        </w:rPr>
        <w:t>互联网信息服务、数字媒体、工业互联网、物联网</w:t>
      </w:r>
      <w:r>
        <w:rPr>
          <w:rFonts w:hint="default" w:ascii="Times New Roman" w:hAnsi="Times New Roman" w:eastAsia="仿宋_GB2312" w:cs="Times New Roman"/>
          <w:color w:val="auto"/>
          <w:sz w:val="28"/>
          <w:szCs w:val="28"/>
          <w:highlight w:val="none"/>
          <w:lang w:eastAsia="zh-CN"/>
        </w:rPr>
        <w:t>等行业和技术领域方向；</w:t>
      </w:r>
    </w:p>
    <w:p w14:paraId="372199B3">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5.软件工程：</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软件工程理论与方法、软件工程技术、软件服务工程、软件可靠性、领域软件</w:t>
      </w:r>
      <w:r>
        <w:rPr>
          <w:rFonts w:hint="default" w:ascii="Times New Roman" w:hAnsi="Times New Roman" w:eastAsia="仿宋_GB2312" w:cs="Times New Roman"/>
          <w:color w:val="auto"/>
          <w:sz w:val="28"/>
          <w:szCs w:val="28"/>
          <w:highlight w:val="none"/>
          <w:lang w:eastAsia="zh-CN"/>
        </w:rPr>
        <w:t>等行业和技术领域方向；</w:t>
      </w:r>
    </w:p>
    <w:p w14:paraId="6B1D779A">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6.控制工程：</w:t>
      </w:r>
      <w:r>
        <w:rPr>
          <w:rFonts w:hint="default" w:ascii="Times New Roman" w:hAnsi="Times New Roman" w:eastAsia="仿宋_GB2312" w:cs="Times New Roman"/>
          <w:color w:val="auto"/>
          <w:sz w:val="28"/>
          <w:szCs w:val="28"/>
          <w:highlight w:val="none"/>
          <w:lang w:eastAsia="zh-CN"/>
        </w:rPr>
        <w:t>主要面向</w:t>
      </w:r>
      <w:r>
        <w:rPr>
          <w:rFonts w:ascii="仿宋" w:hAnsi="仿宋" w:eastAsia="仿宋" w:cs="仿宋"/>
          <w:i w:val="0"/>
          <w:strike w:val="0"/>
          <w:color w:val="auto"/>
          <w:sz w:val="28"/>
          <w:highlight w:val="none"/>
          <w:u w:val="none"/>
        </w:rPr>
        <w:t>智能控制理论与工程</w:t>
      </w:r>
      <w:r>
        <w:rPr>
          <w:rFonts w:hint="default" w:ascii="Times New Roman" w:hAnsi="Times New Roman" w:eastAsia="仿宋_GB2312" w:cs="Times New Roman"/>
          <w:color w:val="auto"/>
          <w:sz w:val="28"/>
          <w:szCs w:val="28"/>
          <w:highlight w:val="none"/>
          <w:lang w:eastAsia="zh-CN"/>
        </w:rPr>
        <w:t>技术方向，</w:t>
      </w:r>
      <w:r>
        <w:rPr>
          <w:rFonts w:ascii="仿宋" w:hAnsi="仿宋" w:eastAsia="仿宋" w:cs="仿宋"/>
          <w:i w:val="0"/>
          <w:strike w:val="0"/>
          <w:color w:val="auto"/>
          <w:sz w:val="28"/>
          <w:highlight w:val="none"/>
          <w:u w:val="none"/>
        </w:rPr>
        <w:t>研究方向包括低空飞行控制、智能网联交通、特种机器人、机器学习与模式识别、智能感知与网络技术</w:t>
      </w:r>
      <w:r>
        <w:rPr>
          <w:rFonts w:hint="default" w:ascii="Times New Roman" w:hAnsi="Times New Roman" w:eastAsia="仿宋_GB2312" w:cs="Times New Roman"/>
          <w:color w:val="auto"/>
          <w:sz w:val="28"/>
          <w:szCs w:val="28"/>
          <w:highlight w:val="none"/>
          <w:lang w:eastAsia="zh-CN"/>
        </w:rPr>
        <w:t>等行业和技术领域方向</w:t>
      </w:r>
      <w:r>
        <w:rPr>
          <w:rFonts w:ascii="仿宋" w:hAnsi="仿宋" w:eastAsia="仿宋" w:cs="仿宋"/>
          <w:i w:val="0"/>
          <w:strike w:val="0"/>
          <w:color w:val="auto"/>
          <w:sz w:val="28"/>
          <w:highlight w:val="none"/>
          <w:u w:val="none"/>
        </w:rPr>
        <w:t>。</w:t>
      </w:r>
    </w:p>
    <w:p w14:paraId="5BCBF00B">
      <w:pPr>
        <w:spacing w:line="540" w:lineRule="atLeast"/>
        <w:ind w:firstLine="562" w:firstLineChars="200"/>
        <w:rPr>
          <w:rFonts w:hint="default" w:ascii="Times New Roman" w:hAnsi="Times New Roman" w:eastAsia="仿宋_GB2312" w:cs="Times New Roman"/>
          <w:color w:val="auto"/>
          <w:sz w:val="28"/>
          <w:szCs w:val="28"/>
          <w:shd w:val="clear" w:color="auto" w:fill="FFFF00"/>
          <w:lang w:eastAsia="zh-CN"/>
        </w:rPr>
      </w:pPr>
      <w:r>
        <w:rPr>
          <w:rFonts w:hint="default" w:ascii="Times New Roman" w:hAnsi="Times New Roman" w:eastAsia="仿宋_GB2312" w:cs="Times New Roman"/>
          <w:b/>
          <w:bCs/>
          <w:color w:val="auto"/>
          <w:sz w:val="28"/>
          <w:szCs w:val="28"/>
          <w:shd w:val="clear" w:color="auto" w:fill="auto"/>
          <w:lang w:val="en-US" w:eastAsia="zh-CN"/>
        </w:rPr>
        <w:t>7</w:t>
      </w:r>
      <w:r>
        <w:rPr>
          <w:rFonts w:hint="default" w:ascii="Times New Roman" w:hAnsi="Times New Roman" w:eastAsia="仿宋_GB2312" w:cs="Times New Roman"/>
          <w:b/>
          <w:bCs/>
          <w:color w:val="auto"/>
          <w:sz w:val="28"/>
          <w:szCs w:val="28"/>
          <w:shd w:val="clear" w:color="auto" w:fill="auto"/>
          <w:lang w:eastAsia="zh-CN"/>
        </w:rPr>
        <w:t>.光电信息工程：</w:t>
      </w:r>
      <w:r>
        <w:rPr>
          <w:rFonts w:ascii="仿宋" w:hAnsi="仿宋" w:eastAsia="仿宋" w:cs="仿宋"/>
          <w:i w:val="0"/>
          <w:strike w:val="0"/>
          <w:color w:val="auto"/>
          <w:sz w:val="28"/>
          <w:u w:val="none"/>
          <w:shd w:val="clear" w:color="auto" w:fill="auto"/>
        </w:rPr>
        <w:t>主要面向</w:t>
      </w:r>
      <w:r>
        <w:rPr>
          <w:rFonts w:ascii="仿宋" w:hAnsi="仿宋" w:eastAsia="仿宋" w:cs="仿宋"/>
          <w:i w:val="0"/>
          <w:strike w:val="0"/>
          <w:color w:val="auto"/>
          <w:sz w:val="28"/>
          <w:highlight w:val="none"/>
          <w:u w:val="none"/>
        </w:rPr>
        <w:t>光电信息理论与方法、光电子技术、光通讯技术、光电信号处理、光电测量与控制、信息电子技术等领域方向；</w:t>
      </w:r>
    </w:p>
    <w:p w14:paraId="792E0AC1">
      <w:pPr>
        <w:numPr>
          <w:ilvl w:val="0"/>
          <w:numId w:val="0"/>
        </w:numPr>
        <w:pBdr>
          <w:bottom w:val="none" w:color="auto" w:sz="0" w:space="0"/>
        </w:pBd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8.</w:t>
      </w:r>
      <w:r>
        <w:rPr>
          <w:rFonts w:hint="default" w:ascii="Times New Roman" w:hAnsi="Times New Roman" w:eastAsia="仿宋_GB2312" w:cs="Times New Roman"/>
          <w:b/>
          <w:bCs/>
          <w:color w:val="auto"/>
          <w:sz w:val="28"/>
          <w:szCs w:val="28"/>
          <w:highlight w:val="none"/>
          <w:lang w:eastAsia="zh-CN"/>
        </w:rPr>
        <w:t>生物医学工程：</w:t>
      </w:r>
      <w:r>
        <w:rPr>
          <w:rFonts w:hint="default" w:ascii="Times New Roman" w:hAnsi="Times New Roman" w:eastAsia="仿宋_GB2312" w:cs="Times New Roman"/>
          <w:color w:val="auto"/>
          <w:sz w:val="28"/>
          <w:szCs w:val="28"/>
          <w:highlight w:val="none"/>
          <w:lang w:eastAsia="zh-CN"/>
        </w:rPr>
        <w:t>主要面</w:t>
      </w:r>
      <w:r>
        <w:rPr>
          <w:rFonts w:ascii="仿宋_GB2312" w:hAnsi="仿宋_GB2312" w:eastAsia="仿宋_GB2312" w:cs="仿宋_GB2312"/>
          <w:b w:val="0"/>
          <w:i w:val="0"/>
          <w:strike w:val="0"/>
          <w:color w:val="auto"/>
          <w:spacing w:val="0"/>
          <w:sz w:val="28"/>
          <w:highlight w:val="none"/>
          <w:u w:val="none"/>
        </w:rPr>
        <w:t>向智能康复工程、健康信息智能计算、精准医疗器械智造、生物医学传感检测、现场快速检测技术、器件与装置等行业与技术领</w:t>
      </w:r>
      <w:r>
        <w:rPr>
          <w:rFonts w:hint="default" w:ascii="Times New Roman" w:hAnsi="Times New Roman" w:eastAsia="仿宋_GB2312" w:cs="Times New Roman"/>
          <w:color w:val="auto"/>
          <w:sz w:val="28"/>
          <w:szCs w:val="28"/>
          <w:highlight w:val="none"/>
          <w:lang w:eastAsia="zh-CN"/>
        </w:rPr>
        <w:t>域方向；</w:t>
      </w:r>
    </w:p>
    <w:p w14:paraId="0D7EE815">
      <w:pPr>
        <w:numPr>
          <w:ilvl w:val="0"/>
          <w:numId w:val="0"/>
        </w:numPr>
        <w:pBdr>
          <w:bottom w:val="none" w:color="auto" w:sz="0" w:space="0"/>
        </w:pBdr>
        <w:spacing w:line="540" w:lineRule="atLeast"/>
        <w:ind w:firstLine="562" w:firstLineChars="200"/>
        <w:rPr>
          <w:rFonts w:hint="default" w:ascii="Times New Roman" w:hAnsi="Times New Roman" w:eastAsia="仿宋_GB2312" w:cs="Times New Roman"/>
          <w:strike/>
          <w:dstrike w:val="0"/>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9.</w:t>
      </w:r>
      <w:r>
        <w:rPr>
          <w:rFonts w:hint="default" w:ascii="Times New Roman" w:hAnsi="Times New Roman" w:eastAsia="仿宋_GB2312" w:cs="Times New Roman"/>
          <w:b/>
          <w:bCs/>
          <w:color w:val="auto"/>
          <w:sz w:val="28"/>
          <w:szCs w:val="28"/>
          <w:highlight w:val="none"/>
          <w:lang w:eastAsia="zh-CN"/>
        </w:rPr>
        <w:t>人工智能</w:t>
      </w:r>
      <w:r>
        <w:rPr>
          <w:rFonts w:hint="default" w:ascii="Times New Roman" w:hAnsi="Times New Roman" w:eastAsia="仿宋_GB2312" w:cs="Times New Roman"/>
          <w:b/>
          <w:bCs/>
          <w:color w:val="auto"/>
          <w:sz w:val="28"/>
          <w:szCs w:val="28"/>
          <w:highlight w:val="none"/>
          <w:lang w:val="en-US" w:eastAsia="zh-CN"/>
        </w:rPr>
        <w:t>：</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群体智能、自主智能、混合增强智能、量子智能、机器人、无人驾驶、智能信息处理、机器学习、深度学习、数据挖掘、模式识别、计算机视觉、自然语言处理、语音识别、物联网、AI芯片</w:t>
      </w:r>
      <w:r>
        <w:rPr>
          <w:rFonts w:hint="default" w:ascii="Times New Roman" w:hAnsi="Times New Roman" w:eastAsia="仿宋_GB2312" w:cs="Times New Roman"/>
          <w:color w:val="auto"/>
          <w:sz w:val="28"/>
          <w:szCs w:val="28"/>
          <w:highlight w:val="none"/>
          <w:lang w:eastAsia="zh-CN"/>
        </w:rPr>
        <w:t>等行业与技术领域方向；</w:t>
      </w:r>
    </w:p>
    <w:p w14:paraId="002820F4">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10.</w:t>
      </w:r>
      <w:r>
        <w:rPr>
          <w:rFonts w:hint="default" w:ascii="Times New Roman" w:hAnsi="Times New Roman" w:eastAsia="仿宋_GB2312" w:cs="Times New Roman"/>
          <w:b/>
          <w:bCs/>
          <w:color w:val="auto"/>
          <w:sz w:val="28"/>
          <w:szCs w:val="28"/>
          <w:highlight w:val="none"/>
          <w:lang w:eastAsia="zh-CN"/>
        </w:rPr>
        <w:t>网络与信息安全：</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网络空间安全基础、密码学及应用、网络与系统安全、信息内容安全、应用与数据安全及新兴信息技术安全</w:t>
      </w:r>
      <w:r>
        <w:rPr>
          <w:rFonts w:hint="default" w:ascii="Times New Roman" w:hAnsi="Times New Roman" w:eastAsia="仿宋_GB2312" w:cs="Times New Roman"/>
          <w:color w:val="auto"/>
          <w:sz w:val="28"/>
          <w:szCs w:val="28"/>
          <w:highlight w:val="none"/>
          <w:lang w:eastAsia="zh-CN"/>
        </w:rPr>
        <w:t>等行业与技术领域方向。</w:t>
      </w:r>
    </w:p>
    <w:p w14:paraId="39960408">
      <w:pPr>
        <w:pStyle w:val="2"/>
        <w:rPr>
          <w:rFonts w:hint="default"/>
          <w:lang w:eastAsia="zh-CN"/>
        </w:rPr>
      </w:pPr>
    </w:p>
    <w:p w14:paraId="02F582A9">
      <w:pPr>
        <w:numPr>
          <w:ilvl w:val="0"/>
          <w:numId w:val="1"/>
        </w:numPr>
        <w:spacing w:line="500" w:lineRule="exact"/>
        <w:ind w:left="147"/>
        <w:rPr>
          <w:rFonts w:ascii="Times New Roman" w:hAnsi="Times New Roman" w:eastAsia="黑体" w:cs="Times New Roman"/>
          <w:bCs/>
          <w:color w:val="auto"/>
          <w:sz w:val="32"/>
          <w:szCs w:val="32"/>
          <w:highlight w:val="none"/>
        </w:rPr>
      </w:pPr>
      <w:r>
        <w:rPr>
          <w:rFonts w:ascii="Times New Roman" w:hAnsi="Times New Roman" w:eastAsia="黑体" w:cs="Times New Roman"/>
          <w:bCs/>
          <w:color w:val="auto"/>
          <w:sz w:val="32"/>
          <w:szCs w:val="32"/>
          <w:highlight w:val="none"/>
        </w:rPr>
        <w:t>培养方式</w:t>
      </w:r>
    </w:p>
    <w:p w14:paraId="6121ED6F">
      <w:pPr>
        <w:adjustRightInd w:val="0"/>
        <w:snapToGrid w:val="0"/>
        <w:spacing w:line="540" w:lineRule="atLeast"/>
        <w:ind w:firstLine="560" w:firstLineChars="200"/>
        <w:jc w:val="left"/>
        <w:rPr>
          <w:rFonts w:eastAsia="仿宋_GB2312"/>
          <w:color w:val="auto"/>
          <w:sz w:val="18"/>
          <w:szCs w:val="28"/>
          <w:highlight w:val="none"/>
        </w:rPr>
      </w:pPr>
      <w:r>
        <w:rPr>
          <w:rFonts w:hint="eastAsia" w:eastAsia="仿宋_GB2312"/>
          <w:color w:val="auto"/>
          <w:sz w:val="28"/>
          <w:szCs w:val="28"/>
          <w:highlight w:val="none"/>
        </w:rPr>
        <w:t>本专业按照全日制培养，执行中山大学全日制</w:t>
      </w:r>
      <w:r>
        <w:rPr>
          <w:rFonts w:hint="eastAsia" w:eastAsia="仿宋_GB2312"/>
          <w:color w:val="auto"/>
          <w:sz w:val="28"/>
          <w:szCs w:val="28"/>
          <w:highlight w:val="none"/>
          <w:lang w:val="en-US" w:eastAsia="zh-CN"/>
        </w:rPr>
        <w:t>博士</w:t>
      </w:r>
      <w:r>
        <w:rPr>
          <w:rFonts w:hint="eastAsia" w:eastAsia="仿宋_GB2312"/>
          <w:color w:val="auto"/>
          <w:sz w:val="28"/>
          <w:szCs w:val="28"/>
          <w:highlight w:val="none"/>
        </w:rPr>
        <w:t>研究生培养相关管理规定，采用课程学习、实践教学和学位论文相结合的培养方式。实行导师负责、导师组联合指导的培养方式。导师组由来自高校或科研机构、企业的3-4名专家组成；导师组名单应提交学院研究生教育与学位专门委员会审批。导师及导师组负责对研究生学位论文的指导，定期检查学位论文工作进度并提出具体建议。</w:t>
      </w:r>
    </w:p>
    <w:p w14:paraId="680D7E41">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直博生或者硕博连读研究生进入博士培养后，在后续培养过程中被认为不适合攻读博士学位，视不同情况，按照学校有关学籍规定申请转为硕士研究生培养或按照研究生结业等处理。</w:t>
      </w:r>
    </w:p>
    <w:p w14:paraId="351FBF55">
      <w:pPr>
        <w:adjustRightInd w:val="0"/>
        <w:snapToGrid w:val="0"/>
        <w:spacing w:line="540" w:lineRule="atLeast"/>
        <w:ind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rPr>
        <w:t>直博生或者硕博连读研究生进入博士培养后一般不得以个人原因要求转为硕士研究生培养。转为硕士研究生培养的申请，至少应该在答辩前一个学期以书面形式提出，经过导师和学院同意后，提交学校讨论审批。</w:t>
      </w:r>
    </w:p>
    <w:p w14:paraId="0AF21935">
      <w:pPr>
        <w:pStyle w:val="2"/>
      </w:pPr>
    </w:p>
    <w:p w14:paraId="6F025216">
      <w:pPr>
        <w:numPr>
          <w:ilvl w:val="0"/>
          <w:numId w:val="1"/>
        </w:numPr>
        <w:spacing w:line="500" w:lineRule="exact"/>
        <w:ind w:left="147"/>
        <w:rPr>
          <w:rFonts w:ascii="Times New Roman" w:hAnsi="Times New Roman" w:eastAsia="黑体" w:cs="Times New Roman"/>
          <w:bCs/>
          <w:color w:val="auto"/>
          <w:sz w:val="32"/>
          <w:szCs w:val="32"/>
          <w:highlight w:val="none"/>
        </w:rPr>
      </w:pPr>
      <w:r>
        <w:rPr>
          <w:rFonts w:ascii="Times New Roman" w:hAnsi="Times New Roman" w:eastAsia="黑体" w:cs="Times New Roman"/>
          <w:bCs/>
          <w:color w:val="auto"/>
          <w:sz w:val="32"/>
          <w:szCs w:val="32"/>
          <w:highlight w:val="none"/>
        </w:rPr>
        <w:t>课程设置</w:t>
      </w:r>
      <w:r>
        <w:rPr>
          <w:rFonts w:hint="eastAsia" w:ascii="Times New Roman" w:hAnsi="Times New Roman" w:eastAsia="黑体" w:cs="Times New Roman"/>
          <w:bCs/>
          <w:color w:val="auto"/>
          <w:sz w:val="32"/>
          <w:szCs w:val="32"/>
          <w:highlight w:val="none"/>
        </w:rPr>
        <w:t>与</w:t>
      </w:r>
      <w:r>
        <w:rPr>
          <w:rFonts w:ascii="Times New Roman" w:hAnsi="Times New Roman" w:eastAsia="黑体" w:cs="Times New Roman"/>
          <w:bCs/>
          <w:color w:val="auto"/>
          <w:sz w:val="32"/>
          <w:szCs w:val="32"/>
          <w:highlight w:val="none"/>
        </w:rPr>
        <w:t>学分要求</w:t>
      </w:r>
    </w:p>
    <w:p w14:paraId="0A38989F">
      <w:pPr>
        <w:adjustRightInd w:val="0"/>
        <w:snapToGrid w:val="0"/>
        <w:spacing w:line="540" w:lineRule="atLeast"/>
        <w:jc w:val="left"/>
        <w:rPr>
          <w:rFonts w:hint="eastAsia" w:ascii="宋体" w:hAnsi="宋体" w:eastAsia="仿宋_GB2312" w:cs="宋体"/>
          <w:color w:val="auto"/>
          <w:kern w:val="0"/>
          <w:sz w:val="24"/>
          <w:highlight w:val="none"/>
          <w:lang w:eastAsia="zh-CN"/>
        </w:rPr>
      </w:pPr>
      <w:r>
        <w:rPr>
          <w:rFonts w:eastAsia="仿宋_GB2312"/>
          <w:color w:val="auto"/>
          <w:sz w:val="28"/>
          <w:szCs w:val="28"/>
          <w:highlight w:val="none"/>
        </w:rPr>
        <w:tab/>
      </w:r>
      <w:r>
        <w:rPr>
          <w:rFonts w:hint="eastAsia" w:eastAsia="仿宋_GB2312"/>
          <w:color w:val="auto"/>
          <w:sz w:val="28"/>
          <w:szCs w:val="28"/>
          <w:highlight w:val="none"/>
        </w:rPr>
        <w:t xml:space="preserve"> 本专业博士研究生在学位论文答辩之前修读总学分不少于35</w:t>
      </w:r>
      <w:r>
        <w:rPr>
          <w:rFonts w:eastAsia="仿宋_GB2312"/>
          <w:color w:val="auto"/>
          <w:sz w:val="28"/>
          <w:szCs w:val="28"/>
          <w:highlight w:val="none"/>
        </w:rPr>
        <w:t>学分，必修课29学分（</w:t>
      </w:r>
      <w:r>
        <w:rPr>
          <w:rFonts w:hint="eastAsia" w:eastAsia="仿宋_GB2312"/>
          <w:color w:val="auto"/>
          <w:sz w:val="28"/>
          <w:szCs w:val="28"/>
          <w:highlight w:val="none"/>
        </w:rPr>
        <w:t>其中</w:t>
      </w:r>
      <w:r>
        <w:rPr>
          <w:rFonts w:eastAsia="仿宋_GB2312"/>
          <w:color w:val="auto"/>
          <w:sz w:val="28"/>
          <w:szCs w:val="28"/>
          <w:highlight w:val="none"/>
        </w:rPr>
        <w:t>公共必修课5分</w:t>
      </w:r>
      <w:r>
        <w:rPr>
          <w:rFonts w:hint="eastAsia" w:eastAsia="仿宋_GB2312"/>
          <w:color w:val="auto"/>
          <w:sz w:val="28"/>
          <w:szCs w:val="28"/>
          <w:highlight w:val="none"/>
        </w:rPr>
        <w:t>，硕士专业必修课1</w:t>
      </w:r>
      <w:r>
        <w:rPr>
          <w:rFonts w:eastAsia="仿宋_GB2312"/>
          <w:color w:val="auto"/>
          <w:sz w:val="28"/>
          <w:szCs w:val="28"/>
          <w:highlight w:val="none"/>
        </w:rPr>
        <w:t>3</w:t>
      </w:r>
      <w:r>
        <w:rPr>
          <w:rFonts w:hint="eastAsia" w:eastAsia="仿宋_GB2312"/>
          <w:color w:val="auto"/>
          <w:sz w:val="28"/>
          <w:szCs w:val="28"/>
          <w:highlight w:val="none"/>
        </w:rPr>
        <w:t>学分，博士专业必修课</w:t>
      </w:r>
      <w:r>
        <w:rPr>
          <w:rFonts w:hint="eastAsia" w:eastAsia="仿宋_GB2312"/>
          <w:color w:val="auto"/>
          <w:sz w:val="28"/>
          <w:szCs w:val="28"/>
          <w:highlight w:val="none"/>
          <w:lang w:val="en-US" w:eastAsia="zh-CN"/>
        </w:rPr>
        <w:t>11</w:t>
      </w:r>
      <w:r>
        <w:rPr>
          <w:rFonts w:hint="eastAsia" w:eastAsia="仿宋_GB2312"/>
          <w:color w:val="auto"/>
          <w:sz w:val="28"/>
          <w:szCs w:val="28"/>
          <w:highlight w:val="none"/>
        </w:rPr>
        <w:t>学分</w:t>
      </w: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含</w:t>
      </w:r>
      <w:r>
        <w:rPr>
          <w:rFonts w:hint="eastAsia" w:eastAsia="仿宋_GB2312"/>
          <w:color w:val="auto"/>
          <w:sz w:val="28"/>
          <w:szCs w:val="28"/>
          <w:highlight w:val="none"/>
        </w:rPr>
        <w:t>专业实践8学分</w:t>
      </w:r>
      <w:r>
        <w:rPr>
          <w:rFonts w:hint="eastAsia" w:eastAsia="仿宋_GB2312"/>
          <w:color w:val="auto"/>
          <w:sz w:val="28"/>
          <w:szCs w:val="28"/>
          <w:highlight w:val="none"/>
          <w:lang w:eastAsia="zh-CN"/>
        </w:rPr>
        <w:t>）</w:t>
      </w:r>
      <w:r>
        <w:rPr>
          <w:rFonts w:eastAsia="仿宋_GB2312"/>
          <w:color w:val="auto"/>
          <w:sz w:val="28"/>
          <w:szCs w:val="28"/>
          <w:highlight w:val="none"/>
        </w:rPr>
        <w:t>）。学生按照</w:t>
      </w:r>
      <w:r>
        <w:rPr>
          <w:rFonts w:hint="eastAsia" w:eastAsia="仿宋_GB2312"/>
          <w:color w:val="auto"/>
          <w:sz w:val="28"/>
          <w:szCs w:val="28"/>
          <w:highlight w:val="none"/>
        </w:rPr>
        <w:t>培养单位要求和</w:t>
      </w:r>
      <w:r>
        <w:rPr>
          <w:rFonts w:eastAsia="仿宋_GB2312"/>
          <w:color w:val="auto"/>
          <w:sz w:val="28"/>
          <w:szCs w:val="28"/>
          <w:highlight w:val="none"/>
        </w:rPr>
        <w:t>研究</w:t>
      </w:r>
      <w:r>
        <w:rPr>
          <w:rFonts w:hint="eastAsia" w:eastAsia="仿宋_GB2312"/>
          <w:color w:val="auto"/>
          <w:sz w:val="28"/>
          <w:szCs w:val="28"/>
          <w:highlight w:val="none"/>
        </w:rPr>
        <w:t>领域</w:t>
      </w:r>
      <w:r>
        <w:rPr>
          <w:rFonts w:eastAsia="仿宋_GB2312"/>
          <w:color w:val="auto"/>
          <w:sz w:val="28"/>
          <w:szCs w:val="28"/>
          <w:highlight w:val="none"/>
        </w:rPr>
        <w:t>方向选择</w:t>
      </w:r>
      <w:r>
        <w:rPr>
          <w:rFonts w:hint="eastAsia" w:eastAsia="仿宋_GB2312"/>
          <w:color w:val="auto"/>
          <w:sz w:val="28"/>
          <w:szCs w:val="28"/>
          <w:highlight w:val="none"/>
        </w:rPr>
        <w:t>对应的</w:t>
      </w:r>
      <w:r>
        <w:rPr>
          <w:rFonts w:eastAsia="仿宋_GB2312"/>
          <w:color w:val="auto"/>
          <w:sz w:val="28"/>
          <w:szCs w:val="28"/>
          <w:highlight w:val="none"/>
        </w:rPr>
        <w:t>模块进行</w:t>
      </w:r>
      <w:r>
        <w:rPr>
          <w:rFonts w:hint="eastAsia" w:eastAsia="仿宋_GB2312"/>
          <w:color w:val="auto"/>
          <w:sz w:val="28"/>
          <w:szCs w:val="28"/>
          <w:highlight w:val="none"/>
        </w:rPr>
        <w:t>课程</w:t>
      </w:r>
      <w:r>
        <w:rPr>
          <w:rFonts w:eastAsia="仿宋_GB2312"/>
          <w:color w:val="auto"/>
          <w:sz w:val="28"/>
          <w:szCs w:val="28"/>
          <w:highlight w:val="none"/>
        </w:rPr>
        <w:t>修读</w:t>
      </w:r>
      <w:r>
        <w:rPr>
          <w:rFonts w:hint="eastAsia" w:eastAsia="仿宋_GB2312"/>
          <w:color w:val="auto"/>
          <w:sz w:val="28"/>
          <w:szCs w:val="28"/>
          <w:highlight w:val="none"/>
          <w:lang w:eastAsia="zh-CN"/>
        </w:rPr>
        <w:t>，</w:t>
      </w:r>
      <w:r>
        <w:rPr>
          <w:rFonts w:hint="eastAsia" w:ascii="Times New Roman" w:hAnsi="Times New Roman" w:eastAsia="仿宋_GB2312" w:cs="Times New Roman"/>
          <w:color w:val="auto"/>
          <w:sz w:val="28"/>
          <w:szCs w:val="28"/>
          <w:highlight w:val="none"/>
          <w:lang w:val="en-US" w:eastAsia="zh-CN"/>
        </w:rPr>
        <w:t>选修课可以跨模块修读。</w:t>
      </w:r>
    </w:p>
    <w:p w14:paraId="69909C4D">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课程设置如下表</w:t>
      </w:r>
      <w:r>
        <w:rPr>
          <w:rFonts w:eastAsia="仿宋_GB2312"/>
          <w:color w:val="auto"/>
          <w:sz w:val="28"/>
          <w:szCs w:val="28"/>
          <w:highlight w:val="none"/>
        </w:rPr>
        <w:t>：</w:t>
      </w:r>
    </w:p>
    <w:p w14:paraId="5F09A31A">
      <w:pPr>
        <w:adjustRightInd w:val="0"/>
        <w:snapToGrid w:val="0"/>
        <w:spacing w:line="540" w:lineRule="atLeast"/>
        <w:ind w:firstLine="482" w:firstLineChars="200"/>
        <w:jc w:val="left"/>
        <w:rPr>
          <w:rFonts w:hint="eastAsia" w:eastAsia="仿宋_GB2312"/>
          <w:b/>
          <w:bCs/>
          <w:color w:val="000000" w:themeColor="text1"/>
          <w:sz w:val="24"/>
          <w:szCs w:val="24"/>
          <w:highlight w:val="none"/>
          <w:lang w:val="en-US" w:eastAsia="zh-CN"/>
          <w14:textFill>
            <w14:solidFill>
              <w14:schemeClr w14:val="tx1"/>
            </w14:solidFill>
          </w14:textFill>
        </w:rPr>
      </w:pPr>
      <w:r>
        <w:rPr>
          <w:rFonts w:hint="eastAsia" w:eastAsia="仿宋_GB2312"/>
          <w:b/>
          <w:bCs/>
          <w:color w:val="000000" w:themeColor="text1"/>
          <w:sz w:val="24"/>
          <w:szCs w:val="24"/>
          <w:highlight w:val="none"/>
          <w:lang w:val="en-US" w:eastAsia="zh-CN"/>
          <w14:textFill>
            <w14:solidFill>
              <w14:schemeClr w14:val="tx1"/>
            </w14:solidFill>
          </w14:textFill>
        </w:rPr>
        <w:t>（注：电子信息连贯培养博士生培养方案由电子与信息工程学院、计算机学院、电子与通信工程学院等十三学院共同制定，课程设置涵盖十三个学院的课程体系。此发布版本仅包含面向我院学生的课程。如需了解整个学位点的完整课程设置，可前往我院研究生教务办公室查阅。）</w:t>
      </w:r>
    </w:p>
    <w:tbl>
      <w:tblPr>
        <w:tblStyle w:val="11"/>
        <w:tblW w:w="99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718"/>
        <w:gridCol w:w="1136"/>
        <w:gridCol w:w="3696"/>
        <w:gridCol w:w="621"/>
        <w:gridCol w:w="590"/>
        <w:gridCol w:w="1435"/>
        <w:gridCol w:w="1127"/>
      </w:tblGrid>
      <w:tr w14:paraId="70090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dxa"/>
            <w:vAlign w:val="center"/>
          </w:tcPr>
          <w:p w14:paraId="359114A1">
            <w:pPr>
              <w:jc w:val="center"/>
              <w:rPr>
                <w:rFonts w:hint="default" w:ascii="仿宋" w:hAnsi="仿宋" w:eastAsia="仿宋" w:cs="仿宋"/>
                <w:b/>
                <w:color w:val="333333"/>
                <w:kern w:val="0"/>
                <w:sz w:val="18"/>
                <w:szCs w:val="18"/>
                <w:shd w:val="clear" w:color="auto" w:fill="auto"/>
              </w:rPr>
            </w:pPr>
            <w:r>
              <w:rPr>
                <w:rFonts w:hint="default" w:ascii="仿宋" w:hAnsi="仿宋" w:eastAsia="仿宋" w:cs="仿宋"/>
                <w:b/>
                <w:color w:val="333333"/>
                <w:sz w:val="18"/>
                <w:szCs w:val="18"/>
                <w:shd w:val="clear" w:color="auto" w:fill="auto"/>
              </w:rPr>
              <w:t>课程属性</w:t>
            </w:r>
          </w:p>
        </w:tc>
        <w:tc>
          <w:tcPr>
            <w:tcW w:w="718" w:type="dxa"/>
            <w:vAlign w:val="center"/>
          </w:tcPr>
          <w:p w14:paraId="243753FE">
            <w:pPr>
              <w:jc w:val="center"/>
              <w:rPr>
                <w:rFonts w:hint="default" w:ascii="仿宋" w:hAnsi="仿宋" w:eastAsia="仿宋" w:cs="仿宋"/>
                <w:b/>
                <w:color w:val="333333"/>
                <w:kern w:val="0"/>
                <w:sz w:val="18"/>
                <w:szCs w:val="18"/>
                <w:shd w:val="clear" w:color="auto" w:fill="auto"/>
              </w:rPr>
            </w:pPr>
            <w:r>
              <w:rPr>
                <w:rFonts w:hint="default" w:ascii="仿宋" w:hAnsi="仿宋" w:eastAsia="仿宋" w:cs="仿宋"/>
                <w:b/>
                <w:color w:val="333333"/>
                <w:kern w:val="0"/>
                <w:sz w:val="18"/>
                <w:szCs w:val="18"/>
                <w:shd w:val="clear" w:color="auto" w:fill="auto"/>
              </w:rPr>
              <w:t>课程类别</w:t>
            </w:r>
          </w:p>
        </w:tc>
        <w:tc>
          <w:tcPr>
            <w:tcW w:w="1136" w:type="dxa"/>
            <w:vAlign w:val="center"/>
          </w:tcPr>
          <w:p w14:paraId="70AFCEA4">
            <w:pPr>
              <w:jc w:val="center"/>
              <w:rPr>
                <w:rFonts w:hint="default" w:ascii="仿宋" w:hAnsi="仿宋" w:eastAsia="仿宋" w:cs="仿宋"/>
                <w:b/>
                <w:color w:val="333333"/>
                <w:kern w:val="0"/>
                <w:sz w:val="18"/>
                <w:szCs w:val="18"/>
                <w:shd w:val="clear" w:color="auto" w:fill="auto"/>
              </w:rPr>
            </w:pPr>
            <w:r>
              <w:rPr>
                <w:rFonts w:hint="default" w:ascii="仿宋" w:hAnsi="仿宋" w:eastAsia="仿宋" w:cs="仿宋"/>
                <w:b/>
                <w:color w:val="333333"/>
                <w:kern w:val="0"/>
                <w:sz w:val="18"/>
                <w:szCs w:val="18"/>
                <w:shd w:val="clear" w:color="auto" w:fill="auto"/>
              </w:rPr>
              <w:t>课程代码</w:t>
            </w:r>
          </w:p>
        </w:tc>
        <w:tc>
          <w:tcPr>
            <w:tcW w:w="3696" w:type="dxa"/>
            <w:vAlign w:val="center"/>
          </w:tcPr>
          <w:p w14:paraId="6FAB59D1">
            <w:pPr>
              <w:jc w:val="center"/>
              <w:rPr>
                <w:rFonts w:hint="default" w:ascii="仿宋" w:hAnsi="仿宋" w:eastAsia="仿宋" w:cs="仿宋"/>
                <w:b/>
                <w:color w:val="333333"/>
                <w:kern w:val="0"/>
                <w:sz w:val="18"/>
                <w:szCs w:val="18"/>
                <w:shd w:val="clear" w:color="auto" w:fill="auto"/>
              </w:rPr>
            </w:pPr>
            <w:r>
              <w:rPr>
                <w:rFonts w:hint="default" w:ascii="仿宋" w:hAnsi="仿宋" w:eastAsia="仿宋" w:cs="仿宋"/>
                <w:b/>
                <w:color w:val="333333"/>
                <w:kern w:val="0"/>
                <w:sz w:val="18"/>
                <w:szCs w:val="18"/>
                <w:shd w:val="clear" w:color="auto" w:fill="auto"/>
              </w:rPr>
              <w:t>课程名称/英文名称</w:t>
            </w:r>
          </w:p>
        </w:tc>
        <w:tc>
          <w:tcPr>
            <w:tcW w:w="621" w:type="dxa"/>
            <w:vAlign w:val="center"/>
          </w:tcPr>
          <w:p w14:paraId="4D84A5D6">
            <w:pPr>
              <w:jc w:val="center"/>
              <w:rPr>
                <w:rFonts w:hint="default" w:ascii="仿宋" w:hAnsi="仿宋" w:eastAsia="仿宋" w:cs="仿宋"/>
                <w:b/>
                <w:color w:val="333333"/>
                <w:kern w:val="0"/>
                <w:sz w:val="18"/>
                <w:szCs w:val="18"/>
                <w:shd w:val="clear" w:color="auto" w:fill="auto"/>
              </w:rPr>
            </w:pPr>
            <w:r>
              <w:rPr>
                <w:rFonts w:hint="default" w:ascii="仿宋" w:hAnsi="仿宋" w:eastAsia="仿宋" w:cs="仿宋"/>
                <w:b/>
                <w:color w:val="333333"/>
                <w:kern w:val="0"/>
                <w:sz w:val="18"/>
                <w:szCs w:val="18"/>
                <w:shd w:val="clear" w:color="auto" w:fill="auto"/>
              </w:rPr>
              <w:t>学时</w:t>
            </w:r>
          </w:p>
        </w:tc>
        <w:tc>
          <w:tcPr>
            <w:tcW w:w="590" w:type="dxa"/>
            <w:vAlign w:val="center"/>
          </w:tcPr>
          <w:p w14:paraId="514C7F8F">
            <w:pPr>
              <w:jc w:val="center"/>
              <w:rPr>
                <w:rFonts w:hint="default" w:ascii="仿宋" w:hAnsi="仿宋" w:eastAsia="仿宋" w:cs="仿宋"/>
                <w:b/>
                <w:color w:val="333333"/>
                <w:kern w:val="0"/>
                <w:sz w:val="18"/>
                <w:szCs w:val="18"/>
                <w:shd w:val="clear" w:color="auto" w:fill="auto"/>
              </w:rPr>
            </w:pPr>
            <w:r>
              <w:rPr>
                <w:rFonts w:hint="default" w:ascii="仿宋" w:hAnsi="仿宋" w:eastAsia="仿宋" w:cs="仿宋"/>
                <w:b/>
                <w:color w:val="333333"/>
                <w:kern w:val="0"/>
                <w:sz w:val="18"/>
                <w:szCs w:val="18"/>
                <w:shd w:val="clear" w:color="auto" w:fill="auto"/>
              </w:rPr>
              <w:t>学分</w:t>
            </w:r>
          </w:p>
        </w:tc>
        <w:tc>
          <w:tcPr>
            <w:tcW w:w="1435" w:type="dxa"/>
            <w:vAlign w:val="center"/>
          </w:tcPr>
          <w:p w14:paraId="097E20B7">
            <w:pPr>
              <w:jc w:val="center"/>
              <w:rPr>
                <w:rFonts w:hint="default" w:ascii="仿宋" w:hAnsi="仿宋" w:eastAsia="仿宋" w:cs="仿宋"/>
                <w:b/>
                <w:color w:val="333333"/>
                <w:kern w:val="0"/>
                <w:sz w:val="18"/>
                <w:szCs w:val="18"/>
                <w:shd w:val="clear" w:color="auto" w:fill="auto"/>
              </w:rPr>
            </w:pPr>
            <w:r>
              <w:rPr>
                <w:rFonts w:hint="default" w:ascii="仿宋" w:hAnsi="仿宋" w:eastAsia="仿宋" w:cs="仿宋"/>
                <w:b/>
                <w:color w:val="333333"/>
                <w:kern w:val="0"/>
                <w:sz w:val="18"/>
                <w:szCs w:val="18"/>
                <w:shd w:val="clear" w:color="auto" w:fill="auto"/>
              </w:rPr>
              <w:t>课程负责人</w:t>
            </w:r>
          </w:p>
        </w:tc>
        <w:tc>
          <w:tcPr>
            <w:tcW w:w="1127" w:type="dxa"/>
            <w:vAlign w:val="center"/>
          </w:tcPr>
          <w:p w14:paraId="47D6C4EA">
            <w:pPr>
              <w:jc w:val="center"/>
              <w:rPr>
                <w:rFonts w:hint="default" w:ascii="Times New Roman" w:hAnsi="Times New Roman" w:eastAsia="仿宋_GB2312" w:cs="Times New Roman"/>
                <w:b/>
                <w:color w:val="auto"/>
                <w:kern w:val="0"/>
                <w:sz w:val="18"/>
                <w:szCs w:val="18"/>
                <w:highlight w:val="none"/>
              </w:rPr>
            </w:pPr>
            <w:r>
              <w:rPr>
                <w:rFonts w:hint="default" w:ascii="Times New Roman" w:hAnsi="Times New Roman" w:eastAsia="仿宋_GB2312" w:cs="Times New Roman"/>
                <w:b/>
                <w:color w:val="auto"/>
                <w:kern w:val="0"/>
                <w:sz w:val="18"/>
                <w:szCs w:val="18"/>
                <w:highlight w:val="none"/>
              </w:rPr>
              <w:t>备注</w:t>
            </w:r>
          </w:p>
        </w:tc>
      </w:tr>
      <w:tr w14:paraId="50E7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589" w:type="dxa"/>
            <w:vMerge w:val="restart"/>
            <w:textDirection w:val="tbRlV"/>
          </w:tcPr>
          <w:p w14:paraId="5907DE4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必修课</w:t>
            </w:r>
          </w:p>
        </w:tc>
        <w:tc>
          <w:tcPr>
            <w:tcW w:w="718" w:type="dxa"/>
            <w:vMerge w:val="restart"/>
            <w:textDirection w:val="tbRlV"/>
          </w:tcPr>
          <w:p w14:paraId="0F449936">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公共课</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（5学分）</w:t>
            </w:r>
          </w:p>
        </w:tc>
        <w:tc>
          <w:tcPr>
            <w:tcW w:w="1136" w:type="dxa"/>
            <w:vAlign w:val="center"/>
          </w:tcPr>
          <w:p w14:paraId="6AB831F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MAR5001</w:t>
            </w:r>
          </w:p>
        </w:tc>
        <w:tc>
          <w:tcPr>
            <w:tcW w:w="3696" w:type="dxa"/>
            <w:vAlign w:val="center"/>
          </w:tcPr>
          <w:p w14:paraId="1314438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新时代中国特色社会主义理论与实践Theory and Practice of Socialism with Chinese Characteristics for a New Era</w:t>
            </w:r>
          </w:p>
        </w:tc>
        <w:tc>
          <w:tcPr>
            <w:tcW w:w="621" w:type="dxa"/>
            <w:vAlign w:val="center"/>
          </w:tcPr>
          <w:p w14:paraId="475544A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vAlign w:val="center"/>
          </w:tcPr>
          <w:p w14:paraId="66C9ED4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vAlign w:val="center"/>
          </w:tcPr>
          <w:p w14:paraId="03A5160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马克思主义学院</w:t>
            </w:r>
          </w:p>
        </w:tc>
        <w:tc>
          <w:tcPr>
            <w:tcW w:w="1127" w:type="dxa"/>
            <w:vAlign w:val="center"/>
          </w:tcPr>
          <w:p w14:paraId="6820C25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秋（旧）</w:t>
            </w:r>
          </w:p>
        </w:tc>
      </w:tr>
      <w:tr w14:paraId="6962E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589" w:type="dxa"/>
            <w:vMerge w:val="continue"/>
            <w:textDirection w:val="tbRlV"/>
          </w:tcPr>
          <w:p w14:paraId="725B12E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tcPr>
          <w:p w14:paraId="5593283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vAlign w:val="center"/>
          </w:tcPr>
          <w:p w14:paraId="3F2D5DD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MAR5002</w:t>
            </w:r>
          </w:p>
        </w:tc>
        <w:tc>
          <w:tcPr>
            <w:tcW w:w="3696" w:type="dxa"/>
            <w:vAlign w:val="center"/>
          </w:tcPr>
          <w:p w14:paraId="633E5E4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自然辩证法概论Dialectics of Nature</w:t>
            </w:r>
          </w:p>
        </w:tc>
        <w:tc>
          <w:tcPr>
            <w:tcW w:w="621" w:type="dxa"/>
            <w:vAlign w:val="center"/>
          </w:tcPr>
          <w:p w14:paraId="10F5982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18</w:t>
            </w:r>
          </w:p>
        </w:tc>
        <w:tc>
          <w:tcPr>
            <w:tcW w:w="590" w:type="dxa"/>
            <w:vAlign w:val="center"/>
          </w:tcPr>
          <w:p w14:paraId="7729155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w:t>
            </w:r>
          </w:p>
        </w:tc>
        <w:tc>
          <w:tcPr>
            <w:tcW w:w="1435" w:type="dxa"/>
            <w:vAlign w:val="center"/>
          </w:tcPr>
          <w:p w14:paraId="21CDD77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马克思主义学院</w:t>
            </w:r>
          </w:p>
        </w:tc>
        <w:tc>
          <w:tcPr>
            <w:tcW w:w="1127" w:type="dxa"/>
            <w:vMerge w:val="restart"/>
            <w:vAlign w:val="center"/>
          </w:tcPr>
          <w:p w14:paraId="6DB2B8F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二选一</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（旧）</w:t>
            </w:r>
          </w:p>
        </w:tc>
      </w:tr>
      <w:tr w14:paraId="6BFC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89" w:type="dxa"/>
            <w:vMerge w:val="continue"/>
            <w:textDirection w:val="tbRlV"/>
          </w:tcPr>
          <w:p w14:paraId="20AB583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tcPr>
          <w:p w14:paraId="7EB4A58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vAlign w:val="center"/>
          </w:tcPr>
          <w:p w14:paraId="15B2D2E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MAR5003</w:t>
            </w:r>
          </w:p>
        </w:tc>
        <w:tc>
          <w:tcPr>
            <w:tcW w:w="3696" w:type="dxa"/>
            <w:vAlign w:val="center"/>
          </w:tcPr>
          <w:p w14:paraId="2C110FF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马克思主义与社会科学方法论Marxism and The Methodology of Social Science</w:t>
            </w:r>
          </w:p>
        </w:tc>
        <w:tc>
          <w:tcPr>
            <w:tcW w:w="621" w:type="dxa"/>
            <w:vAlign w:val="center"/>
          </w:tcPr>
          <w:p w14:paraId="3F8694C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18</w:t>
            </w:r>
          </w:p>
        </w:tc>
        <w:tc>
          <w:tcPr>
            <w:tcW w:w="590" w:type="dxa"/>
            <w:vAlign w:val="center"/>
          </w:tcPr>
          <w:p w14:paraId="03750A6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w:t>
            </w:r>
          </w:p>
        </w:tc>
        <w:tc>
          <w:tcPr>
            <w:tcW w:w="1435" w:type="dxa"/>
            <w:vAlign w:val="center"/>
          </w:tcPr>
          <w:p w14:paraId="6F626E5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马克思主义学院</w:t>
            </w:r>
          </w:p>
        </w:tc>
        <w:tc>
          <w:tcPr>
            <w:tcW w:w="1127" w:type="dxa"/>
            <w:vMerge w:val="continue"/>
            <w:vAlign w:val="center"/>
          </w:tcPr>
          <w:p w14:paraId="3D7EF74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r>
      <w:tr w14:paraId="13D58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589" w:type="dxa"/>
            <w:vMerge w:val="continue"/>
            <w:textDirection w:val="tbRlV"/>
          </w:tcPr>
          <w:p w14:paraId="400CB5D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tcPr>
          <w:p w14:paraId="1D97250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vAlign w:val="center"/>
          </w:tcPr>
          <w:p w14:paraId="5B188C5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 xml:space="preserve">MAR5004 </w:t>
            </w:r>
          </w:p>
        </w:tc>
        <w:tc>
          <w:tcPr>
            <w:tcW w:w="3696" w:type="dxa"/>
            <w:vAlign w:val="center"/>
          </w:tcPr>
          <w:p w14:paraId="5D051C3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中国式现代化的理论与实践</w:t>
            </w:r>
          </w:p>
        </w:tc>
        <w:tc>
          <w:tcPr>
            <w:tcW w:w="621" w:type="dxa"/>
            <w:vAlign w:val="center"/>
          </w:tcPr>
          <w:p w14:paraId="7B31213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vAlign w:val="center"/>
          </w:tcPr>
          <w:p w14:paraId="219E068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vMerge w:val="restart"/>
            <w:vAlign w:val="center"/>
          </w:tcPr>
          <w:p w14:paraId="0D09AF7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马克思主义学院</w:t>
            </w:r>
          </w:p>
        </w:tc>
        <w:tc>
          <w:tcPr>
            <w:tcW w:w="1127" w:type="dxa"/>
            <w:vAlign w:val="center"/>
          </w:tcPr>
          <w:p w14:paraId="105B4BE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秋（新）</w:t>
            </w:r>
          </w:p>
        </w:tc>
      </w:tr>
      <w:tr w14:paraId="696C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589" w:type="dxa"/>
            <w:vMerge w:val="continue"/>
            <w:textDirection w:val="tbRlV"/>
          </w:tcPr>
          <w:p w14:paraId="5DA3A4E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tcPr>
          <w:p w14:paraId="5F39426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vAlign w:val="center"/>
          </w:tcPr>
          <w:p w14:paraId="60A8B98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 xml:space="preserve">MAR5007 </w:t>
            </w:r>
          </w:p>
        </w:tc>
        <w:tc>
          <w:tcPr>
            <w:tcW w:w="3696" w:type="dxa"/>
            <w:vAlign w:val="center"/>
          </w:tcPr>
          <w:p w14:paraId="5489238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马克思主义与当代科技</w:t>
            </w:r>
          </w:p>
        </w:tc>
        <w:tc>
          <w:tcPr>
            <w:tcW w:w="621" w:type="dxa"/>
            <w:vAlign w:val="center"/>
          </w:tcPr>
          <w:p w14:paraId="4D3F4C9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18</w:t>
            </w:r>
          </w:p>
        </w:tc>
        <w:tc>
          <w:tcPr>
            <w:tcW w:w="590" w:type="dxa"/>
            <w:vAlign w:val="center"/>
          </w:tcPr>
          <w:p w14:paraId="67F257B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w:t>
            </w:r>
          </w:p>
        </w:tc>
        <w:tc>
          <w:tcPr>
            <w:tcW w:w="1435" w:type="dxa"/>
            <w:vMerge w:val="continue"/>
            <w:vAlign w:val="center"/>
          </w:tcPr>
          <w:p w14:paraId="1BE9435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27" w:type="dxa"/>
            <w:vAlign w:val="center"/>
          </w:tcPr>
          <w:p w14:paraId="1075ABE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春（新）</w:t>
            </w:r>
          </w:p>
        </w:tc>
      </w:tr>
      <w:tr w14:paraId="01456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589" w:type="dxa"/>
            <w:vMerge w:val="continue"/>
            <w:textDirection w:val="tbRlV"/>
          </w:tcPr>
          <w:p w14:paraId="3C45AA4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tcPr>
          <w:p w14:paraId="278735D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vAlign w:val="center"/>
          </w:tcPr>
          <w:p w14:paraId="4AABDF3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FL5015</w:t>
            </w:r>
          </w:p>
        </w:tc>
        <w:tc>
          <w:tcPr>
            <w:tcW w:w="3696" w:type="dxa"/>
            <w:vAlign w:val="center"/>
          </w:tcPr>
          <w:p w14:paraId="6343AA5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第一外国语（英语）First Foreign Language (English)</w:t>
            </w:r>
          </w:p>
        </w:tc>
        <w:tc>
          <w:tcPr>
            <w:tcW w:w="621" w:type="dxa"/>
            <w:vAlign w:val="center"/>
          </w:tcPr>
          <w:p w14:paraId="0B5498F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vAlign w:val="center"/>
          </w:tcPr>
          <w:p w14:paraId="2703F6E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vAlign w:val="center"/>
          </w:tcPr>
          <w:p w14:paraId="5B07816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外国语学院</w:t>
            </w:r>
          </w:p>
        </w:tc>
        <w:tc>
          <w:tcPr>
            <w:tcW w:w="1127" w:type="dxa"/>
            <w:vAlign w:val="center"/>
          </w:tcPr>
          <w:p w14:paraId="57ED6E6B">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90E4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dxa"/>
            <w:vMerge w:val="continue"/>
            <w:textDirection w:val="tbRlV"/>
          </w:tcPr>
          <w:p w14:paraId="61205D5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restart"/>
            <w:textDirection w:val="tbRlV"/>
          </w:tcPr>
          <w:p w14:paraId="1507A0DA">
            <w:pPr>
              <w:ind w:left="0" w:leftChars="0" w:firstLine="0" w:firstLineChars="0"/>
              <w:jc w:val="both"/>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000C067A">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专业基础（7学分）</w:t>
            </w:r>
          </w:p>
          <w:p w14:paraId="5EDFF3B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51B10E9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48EA386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79AE427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6DB812D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5C0E140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05C3614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3917696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2BE6B86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6613980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vAlign w:val="center"/>
          </w:tcPr>
          <w:p w14:paraId="0E170BB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DCS5709</w:t>
            </w:r>
          </w:p>
          <w:p w14:paraId="37665B2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3696" w:type="dxa"/>
            <w:vAlign w:val="center"/>
          </w:tcPr>
          <w:p w14:paraId="751336F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学术规范与论文写作</w:t>
            </w:r>
          </w:p>
          <w:p w14:paraId="479630E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Academic Norms and Thesis Writing</w:t>
            </w:r>
          </w:p>
        </w:tc>
        <w:tc>
          <w:tcPr>
            <w:tcW w:w="621" w:type="dxa"/>
            <w:vAlign w:val="center"/>
          </w:tcPr>
          <w:p w14:paraId="4F96C75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vAlign w:val="center"/>
          </w:tcPr>
          <w:p w14:paraId="0D84599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vAlign w:val="center"/>
          </w:tcPr>
          <w:p w14:paraId="2E64893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导师组</w:t>
            </w:r>
          </w:p>
        </w:tc>
        <w:tc>
          <w:tcPr>
            <w:tcW w:w="1127" w:type="dxa"/>
            <w:vAlign w:val="center"/>
          </w:tcPr>
          <w:p w14:paraId="1D020D1E">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p w14:paraId="0AC233B1">
            <w:pPr>
              <w:jc w:val="both"/>
              <w:rPr>
                <w:rFonts w:hint="default"/>
                <w:lang w:val="en-US" w:eastAsia="zh-CN"/>
              </w:rPr>
            </w:pPr>
            <w:r>
              <w:rPr>
                <w:rFonts w:hint="eastAsia" w:ascii="Times New Roman" w:hAnsi="Times New Roman" w:eastAsia="仿宋_GB2312" w:cs="Times New Roman"/>
                <w:color w:val="000000" w:themeColor="text1"/>
                <w:kern w:val="0"/>
                <w:sz w:val="16"/>
                <w:szCs w:val="16"/>
                <w:highlight w:val="none"/>
                <w:lang w:val="en-US" w:eastAsia="zh-CN"/>
                <w14:textFill>
                  <w14:solidFill>
                    <w14:schemeClr w14:val="tx1"/>
                  </w14:solidFill>
                </w14:textFill>
              </w:rPr>
              <w:t>（必选）</w:t>
            </w:r>
          </w:p>
        </w:tc>
      </w:tr>
      <w:tr w14:paraId="650F4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589" w:type="dxa"/>
            <w:vMerge w:val="continue"/>
            <w:textDirection w:val="tbRlV"/>
          </w:tcPr>
          <w:p w14:paraId="6834104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tcPr>
          <w:p w14:paraId="0AFCCE7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vAlign w:val="center"/>
          </w:tcPr>
          <w:p w14:paraId="3C35790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1FE7625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DCS6702</w:t>
            </w:r>
          </w:p>
          <w:p w14:paraId="4C4D0C4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3696" w:type="dxa"/>
            <w:vAlign w:val="center"/>
          </w:tcPr>
          <w:p w14:paraId="3A3C813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工程伦理</w:t>
            </w:r>
          </w:p>
          <w:p w14:paraId="3D1722E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Engineering</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Ethics</w:t>
            </w:r>
          </w:p>
        </w:tc>
        <w:tc>
          <w:tcPr>
            <w:tcW w:w="621" w:type="dxa"/>
            <w:vAlign w:val="center"/>
          </w:tcPr>
          <w:p w14:paraId="5334625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vAlign w:val="center"/>
          </w:tcPr>
          <w:p w14:paraId="5EB09E4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vAlign w:val="center"/>
          </w:tcPr>
          <w:p w14:paraId="0F752920">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导师组</w:t>
            </w:r>
          </w:p>
        </w:tc>
        <w:tc>
          <w:tcPr>
            <w:tcW w:w="1127" w:type="dxa"/>
            <w:vAlign w:val="center"/>
          </w:tcPr>
          <w:p w14:paraId="413E606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r>
              <w:rPr>
                <w:rFonts w:hint="eastAsia" w:ascii="Times New Roman" w:hAnsi="Times New Roman" w:eastAsia="仿宋_GB2312" w:cs="Times New Roman"/>
                <w:color w:val="000000" w:themeColor="text1"/>
                <w:kern w:val="0"/>
                <w:sz w:val="16"/>
                <w:szCs w:val="16"/>
                <w:highlight w:val="none"/>
                <w:lang w:val="en-US" w:eastAsia="zh-CN"/>
                <w14:textFill>
                  <w14:solidFill>
                    <w14:schemeClr w14:val="tx1"/>
                  </w14:solidFill>
                </w14:textFill>
              </w:rPr>
              <w:t>（必选）</w:t>
            </w:r>
          </w:p>
        </w:tc>
      </w:tr>
      <w:tr w14:paraId="1A2D4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589" w:type="dxa"/>
            <w:vMerge w:val="continue"/>
            <w:textDirection w:val="tbRlV"/>
          </w:tcPr>
          <w:p w14:paraId="2FB859A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tcPr>
          <w:p w14:paraId="79963B5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vAlign w:val="center"/>
          </w:tcPr>
          <w:p w14:paraId="10C3633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3695939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DCS6703</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p>
        </w:tc>
        <w:tc>
          <w:tcPr>
            <w:tcW w:w="3696" w:type="dxa"/>
            <w:vAlign w:val="center"/>
          </w:tcPr>
          <w:p w14:paraId="393E7944">
            <w:pPr>
              <w:jc w:val="left"/>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高等工程数学</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（一）</w:t>
            </w:r>
          </w:p>
          <w:p w14:paraId="0930195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Engineering Mathematics</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w:t>
            </w:r>
          </w:p>
        </w:tc>
        <w:tc>
          <w:tcPr>
            <w:tcW w:w="621" w:type="dxa"/>
            <w:vAlign w:val="center"/>
          </w:tcPr>
          <w:p w14:paraId="2363412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vAlign w:val="center"/>
          </w:tcPr>
          <w:p w14:paraId="4E0E816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vAlign w:val="center"/>
          </w:tcPr>
          <w:p w14:paraId="13BC399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杨宏奇、马啸等</w:t>
            </w:r>
          </w:p>
        </w:tc>
        <w:tc>
          <w:tcPr>
            <w:tcW w:w="1127" w:type="dxa"/>
            <w:vAlign w:val="center"/>
          </w:tcPr>
          <w:p w14:paraId="5860015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理</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课</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5选1</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p>
        </w:tc>
      </w:tr>
      <w:tr w14:paraId="4DC25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589" w:type="dxa"/>
            <w:vMerge w:val="continue"/>
            <w:textDirection w:val="tbRlV"/>
          </w:tcPr>
          <w:p w14:paraId="31D56A1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tcPr>
          <w:p w14:paraId="6461033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vAlign w:val="center"/>
          </w:tcPr>
          <w:p w14:paraId="6EF4EB3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DCS7201</w:t>
            </w:r>
          </w:p>
        </w:tc>
        <w:tc>
          <w:tcPr>
            <w:tcW w:w="3696" w:type="dxa"/>
            <w:vAlign w:val="center"/>
          </w:tcPr>
          <w:p w14:paraId="7562D4ED">
            <w:pPr>
              <w:jc w:val="left"/>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计算复杂性</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理论</w:t>
            </w:r>
          </w:p>
          <w:p w14:paraId="0AACFF3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Theory of Computational Complexity</w:t>
            </w:r>
          </w:p>
        </w:tc>
        <w:tc>
          <w:tcPr>
            <w:tcW w:w="621" w:type="dxa"/>
            <w:vAlign w:val="center"/>
          </w:tcPr>
          <w:p w14:paraId="5EE53EB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vAlign w:val="center"/>
          </w:tcPr>
          <w:p w14:paraId="289DF68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vAlign w:val="center"/>
          </w:tcPr>
          <w:p w14:paraId="2842A2A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张方国</w:t>
            </w:r>
          </w:p>
        </w:tc>
        <w:tc>
          <w:tcPr>
            <w:tcW w:w="1127" w:type="dxa"/>
            <w:vAlign w:val="center"/>
          </w:tcPr>
          <w:p w14:paraId="5D8ADEF5">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8343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9" w:type="dxa"/>
            <w:vMerge w:val="continue"/>
            <w:textDirection w:val="tbRlV"/>
          </w:tcPr>
          <w:p w14:paraId="5213504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restart"/>
            <w:textDirection w:val="tbRlV"/>
            <w:vAlign w:val="center"/>
          </w:tcPr>
          <w:p w14:paraId="67D7C40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专业方向</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（硕士阶段）</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（6学分）</w:t>
            </w:r>
          </w:p>
        </w:tc>
        <w:tc>
          <w:tcPr>
            <w:tcW w:w="1136" w:type="dxa"/>
            <w:shd w:val="clear" w:color="auto" w:fill="auto"/>
            <w:vAlign w:val="center"/>
          </w:tcPr>
          <w:p w14:paraId="6DB66C9E">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DCS6704</w:t>
            </w:r>
          </w:p>
        </w:tc>
        <w:tc>
          <w:tcPr>
            <w:tcW w:w="3696" w:type="dxa"/>
            <w:shd w:val="clear" w:color="auto" w:fill="auto"/>
            <w:vAlign w:val="center"/>
          </w:tcPr>
          <w:p w14:paraId="0AF7418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高级人工智能</w:t>
            </w:r>
          </w:p>
          <w:p w14:paraId="0758F2BF">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Artificial Intelligence</w:t>
            </w:r>
          </w:p>
        </w:tc>
        <w:tc>
          <w:tcPr>
            <w:tcW w:w="621" w:type="dxa"/>
            <w:shd w:val="clear" w:color="auto" w:fill="auto"/>
            <w:vAlign w:val="center"/>
          </w:tcPr>
          <w:p w14:paraId="771E905F">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shd w:val="clear" w:color="auto" w:fill="auto"/>
            <w:vAlign w:val="center"/>
          </w:tcPr>
          <w:p w14:paraId="209FB0B4">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shd w:val="clear" w:color="auto" w:fill="auto"/>
            <w:vAlign w:val="center"/>
          </w:tcPr>
          <w:p w14:paraId="41B55CBD">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王甲海、潘嵘、饶洋辉、林</w:t>
            </w:r>
            <w:r>
              <w:rPr>
                <w:rFonts w:hint="eastAsia" w:ascii="微软雅黑" w:hAnsi="微软雅黑" w:eastAsia="微软雅黑" w:cs="微软雅黑"/>
                <w:kern w:val="0"/>
                <w:sz w:val="18"/>
                <w:szCs w:val="18"/>
              </w:rPr>
              <w:t>倞</w:t>
            </w:r>
            <w:r>
              <w:rPr>
                <w:rFonts w:hint="eastAsia" w:eastAsia="仿宋_GB2312"/>
                <w:kern w:val="0"/>
                <w:sz w:val="18"/>
                <w:szCs w:val="18"/>
              </w:rPr>
              <w:t>、李冠彬、赖韩江、苏勤亮、梁上松、曾坤、吴贺俊</w:t>
            </w:r>
          </w:p>
        </w:tc>
        <w:tc>
          <w:tcPr>
            <w:tcW w:w="1127" w:type="dxa"/>
            <w:shd w:val="clear" w:color="auto" w:fill="auto"/>
            <w:vAlign w:val="center"/>
          </w:tcPr>
          <w:p w14:paraId="24A79044">
            <w:pPr>
              <w:ind w:firstLine="180" w:firstLineChars="100"/>
              <w:jc w:val="both"/>
              <w:rPr>
                <w:rFonts w:hint="eastAsia" w:asciiTheme="minorHAnsi" w:hAnsiTheme="minorHAnsi" w:eastAsiaTheme="minorEastAsia" w:cstheme="minorBidi"/>
                <w:kern w:val="2"/>
                <w:sz w:val="21"/>
                <w:szCs w:val="24"/>
                <w:lang w:val="en-US" w:eastAsia="zh-CN" w:bidi="ar-SA"/>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秋（必选）</w:t>
            </w:r>
          </w:p>
        </w:tc>
      </w:tr>
      <w:tr w14:paraId="456C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89" w:type="dxa"/>
            <w:vMerge w:val="continue"/>
            <w:textDirection w:val="tbRlV"/>
          </w:tcPr>
          <w:p w14:paraId="5FC8DB1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vAlign w:val="center"/>
          </w:tcPr>
          <w:p w14:paraId="31C5AF9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shd w:val="clear" w:color="auto" w:fill="auto"/>
            <w:vAlign w:val="center"/>
          </w:tcPr>
          <w:p w14:paraId="7B77920E">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DCS521</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0</w:t>
            </w:r>
          </w:p>
        </w:tc>
        <w:tc>
          <w:tcPr>
            <w:tcW w:w="3696" w:type="dxa"/>
            <w:shd w:val="clear" w:color="auto" w:fill="auto"/>
            <w:vAlign w:val="center"/>
          </w:tcPr>
          <w:p w14:paraId="671941F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高级算法设计与分析</w:t>
            </w:r>
          </w:p>
          <w:p w14:paraId="51AFE56C">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Algorithms and Programming Techniques</w:t>
            </w:r>
          </w:p>
        </w:tc>
        <w:tc>
          <w:tcPr>
            <w:tcW w:w="621" w:type="dxa"/>
            <w:shd w:val="clear" w:color="auto" w:fill="auto"/>
            <w:vAlign w:val="center"/>
          </w:tcPr>
          <w:p w14:paraId="4A0E6A88">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shd w:val="clear" w:color="auto" w:fill="auto"/>
            <w:vAlign w:val="center"/>
          </w:tcPr>
          <w:p w14:paraId="1C29F5C0">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shd w:val="clear" w:color="auto" w:fill="auto"/>
            <w:vAlign w:val="center"/>
          </w:tcPr>
          <w:p w14:paraId="05F00FA2">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凌应标、戴智明、张子臻、冯剑琳、林瀚</w:t>
            </w:r>
          </w:p>
        </w:tc>
        <w:tc>
          <w:tcPr>
            <w:tcW w:w="1127" w:type="dxa"/>
            <w:shd w:val="clear" w:color="auto" w:fill="auto"/>
            <w:vAlign w:val="center"/>
          </w:tcPr>
          <w:p w14:paraId="1AA25A8F">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BC3E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589" w:type="dxa"/>
            <w:vMerge w:val="continue"/>
            <w:textDirection w:val="tbRlV"/>
          </w:tcPr>
          <w:p w14:paraId="6FB9FB6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vAlign w:val="center"/>
          </w:tcPr>
          <w:p w14:paraId="3233329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shd w:val="clear" w:color="auto" w:fill="auto"/>
            <w:vAlign w:val="center"/>
          </w:tcPr>
          <w:p w14:paraId="6DD8BBE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DCS6207</w:t>
            </w:r>
          </w:p>
        </w:tc>
        <w:tc>
          <w:tcPr>
            <w:tcW w:w="3696" w:type="dxa"/>
            <w:shd w:val="clear" w:color="auto" w:fill="auto"/>
            <w:vAlign w:val="center"/>
          </w:tcPr>
          <w:p w14:paraId="64D0EC7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高级计算机体系结构</w:t>
            </w:r>
          </w:p>
          <w:p w14:paraId="67274AA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Computer Architecture</w:t>
            </w:r>
          </w:p>
        </w:tc>
        <w:tc>
          <w:tcPr>
            <w:tcW w:w="621" w:type="dxa"/>
            <w:shd w:val="clear" w:color="auto" w:fill="auto"/>
            <w:vAlign w:val="center"/>
          </w:tcPr>
          <w:p w14:paraId="331B2BD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shd w:val="clear" w:color="auto" w:fill="auto"/>
            <w:vAlign w:val="center"/>
          </w:tcPr>
          <w:p w14:paraId="28F1829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shd w:val="clear" w:color="auto" w:fill="auto"/>
            <w:vAlign w:val="center"/>
          </w:tcPr>
          <w:p w14:paraId="141DEDD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陈志广、吴迪、黄凯、胡淼、张献伟、黄聃、沈明华</w:t>
            </w:r>
          </w:p>
        </w:tc>
        <w:tc>
          <w:tcPr>
            <w:tcW w:w="1127" w:type="dxa"/>
            <w:vAlign w:val="center"/>
          </w:tcPr>
          <w:p w14:paraId="3516880B">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37B0B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589" w:type="dxa"/>
            <w:vMerge w:val="continue"/>
            <w:textDirection w:val="tbRlV"/>
          </w:tcPr>
          <w:p w14:paraId="6A6031D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vAlign w:val="center"/>
          </w:tcPr>
          <w:p w14:paraId="2C0A7A5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shd w:val="clear" w:color="auto" w:fill="auto"/>
            <w:vAlign w:val="center"/>
          </w:tcPr>
          <w:p w14:paraId="3CE36F33">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DCS5205</w:t>
            </w:r>
          </w:p>
        </w:tc>
        <w:tc>
          <w:tcPr>
            <w:tcW w:w="3696" w:type="dxa"/>
            <w:shd w:val="clear" w:color="auto" w:fill="auto"/>
            <w:vAlign w:val="center"/>
          </w:tcPr>
          <w:p w14:paraId="557F593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高级数据库技术</w:t>
            </w:r>
          </w:p>
          <w:p w14:paraId="06B4B56F">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Database Technology</w:t>
            </w:r>
          </w:p>
        </w:tc>
        <w:tc>
          <w:tcPr>
            <w:tcW w:w="621" w:type="dxa"/>
            <w:shd w:val="clear" w:color="auto" w:fill="auto"/>
            <w:vAlign w:val="center"/>
          </w:tcPr>
          <w:p w14:paraId="34BF046C">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shd w:val="clear" w:color="auto" w:fill="auto"/>
            <w:vAlign w:val="center"/>
          </w:tcPr>
          <w:p w14:paraId="4632C602">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shd w:val="clear" w:color="auto" w:fill="auto"/>
            <w:vAlign w:val="center"/>
          </w:tcPr>
          <w:p w14:paraId="6168450C">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刘玉葆、饶洋辉</w:t>
            </w:r>
          </w:p>
        </w:tc>
        <w:tc>
          <w:tcPr>
            <w:tcW w:w="1127" w:type="dxa"/>
            <w:shd w:val="clear" w:color="auto" w:fill="auto"/>
            <w:vAlign w:val="center"/>
          </w:tcPr>
          <w:p w14:paraId="4E54C71B">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FB34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589" w:type="dxa"/>
            <w:vMerge w:val="continue"/>
            <w:textDirection w:val="tbRlV"/>
          </w:tcPr>
          <w:p w14:paraId="428BF28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vAlign w:val="center"/>
          </w:tcPr>
          <w:p w14:paraId="33BD8D6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shd w:val="clear" w:color="auto" w:fill="auto"/>
            <w:vAlign w:val="center"/>
          </w:tcPr>
          <w:p w14:paraId="5F5C32FA">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DCS5242</w:t>
            </w:r>
          </w:p>
        </w:tc>
        <w:tc>
          <w:tcPr>
            <w:tcW w:w="3696" w:type="dxa"/>
            <w:shd w:val="clear" w:color="auto" w:fill="auto"/>
            <w:vAlign w:val="center"/>
          </w:tcPr>
          <w:p w14:paraId="34FE8F0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密码学前沿技术</w:t>
            </w:r>
          </w:p>
          <w:p w14:paraId="4070F823">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Topics of Modern Cryptography</w:t>
            </w:r>
          </w:p>
        </w:tc>
        <w:tc>
          <w:tcPr>
            <w:tcW w:w="621" w:type="dxa"/>
            <w:shd w:val="clear" w:color="auto" w:fill="auto"/>
            <w:vAlign w:val="center"/>
          </w:tcPr>
          <w:p w14:paraId="6AC5F24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shd w:val="clear" w:color="auto" w:fill="auto"/>
            <w:vAlign w:val="center"/>
          </w:tcPr>
          <w:p w14:paraId="207E05CA">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shd w:val="clear" w:color="auto" w:fill="auto"/>
            <w:vAlign w:val="center"/>
          </w:tcPr>
          <w:p w14:paraId="22B56AB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张方国、田海博</w:t>
            </w:r>
          </w:p>
        </w:tc>
        <w:tc>
          <w:tcPr>
            <w:tcW w:w="1127" w:type="dxa"/>
            <w:shd w:val="clear" w:color="auto" w:fill="auto"/>
            <w:vAlign w:val="center"/>
          </w:tcPr>
          <w:p w14:paraId="69871BBC">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98F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589" w:type="dxa"/>
            <w:vMerge w:val="continue"/>
            <w:textDirection w:val="tbRlV"/>
          </w:tcPr>
          <w:p w14:paraId="16F6F6C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restart"/>
            <w:textDirection w:val="tbRlV"/>
          </w:tcPr>
          <w:p w14:paraId="29FE725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专业方向（博士阶段）（</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至少</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3学分</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）（选硕士阶段方向课未选的一门）</w:t>
            </w:r>
          </w:p>
          <w:p w14:paraId="7E6F43CB">
            <w:pPr>
              <w:jc w:val="both"/>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p w14:paraId="342F6B4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shd w:val="clear" w:color="auto" w:fill="auto"/>
            <w:vAlign w:val="center"/>
          </w:tcPr>
          <w:p w14:paraId="5288F7C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DCS6704</w:t>
            </w:r>
          </w:p>
        </w:tc>
        <w:tc>
          <w:tcPr>
            <w:tcW w:w="3696" w:type="dxa"/>
            <w:shd w:val="clear" w:color="auto" w:fill="auto"/>
            <w:vAlign w:val="center"/>
          </w:tcPr>
          <w:p w14:paraId="5D65398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高级人工智能</w:t>
            </w:r>
          </w:p>
          <w:p w14:paraId="46472F88">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Artificial Intelligence</w:t>
            </w:r>
          </w:p>
        </w:tc>
        <w:tc>
          <w:tcPr>
            <w:tcW w:w="621" w:type="dxa"/>
            <w:shd w:val="clear" w:color="auto" w:fill="auto"/>
            <w:vAlign w:val="center"/>
          </w:tcPr>
          <w:p w14:paraId="20694A9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shd w:val="clear" w:color="auto" w:fill="auto"/>
            <w:vAlign w:val="center"/>
          </w:tcPr>
          <w:p w14:paraId="5C86CEB9">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shd w:val="clear" w:color="auto" w:fill="auto"/>
            <w:vAlign w:val="center"/>
          </w:tcPr>
          <w:p w14:paraId="4372A61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王甲海、潘嵘、饶洋辉、林</w:t>
            </w:r>
            <w:r>
              <w:rPr>
                <w:rFonts w:hint="eastAsia" w:ascii="微软雅黑" w:hAnsi="微软雅黑" w:eastAsia="微软雅黑" w:cs="微软雅黑"/>
                <w:kern w:val="0"/>
                <w:sz w:val="18"/>
                <w:szCs w:val="18"/>
              </w:rPr>
              <w:t>倞</w:t>
            </w:r>
            <w:r>
              <w:rPr>
                <w:rFonts w:hint="eastAsia" w:eastAsia="仿宋_GB2312"/>
                <w:kern w:val="0"/>
                <w:sz w:val="18"/>
                <w:szCs w:val="18"/>
              </w:rPr>
              <w:t>、李冠彬、赖韩江、苏勤亮、梁上松、曾坤、吴贺俊</w:t>
            </w:r>
          </w:p>
        </w:tc>
        <w:tc>
          <w:tcPr>
            <w:tcW w:w="1127" w:type="dxa"/>
            <w:shd w:val="clear" w:color="auto" w:fill="auto"/>
            <w:vAlign w:val="center"/>
          </w:tcPr>
          <w:p w14:paraId="60EC7A15">
            <w:pPr>
              <w:ind w:firstLine="180" w:firstLineChars="100"/>
              <w:jc w:val="both"/>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秋（必选）</w:t>
            </w:r>
          </w:p>
        </w:tc>
      </w:tr>
      <w:tr w14:paraId="635BF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589" w:type="dxa"/>
            <w:vMerge w:val="continue"/>
            <w:textDirection w:val="tbRlV"/>
          </w:tcPr>
          <w:p w14:paraId="09979B3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tcPr>
          <w:p w14:paraId="20132E1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shd w:val="clear" w:color="auto" w:fill="auto"/>
            <w:vAlign w:val="center"/>
          </w:tcPr>
          <w:p w14:paraId="6270519D">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DCS521</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0</w:t>
            </w:r>
          </w:p>
        </w:tc>
        <w:tc>
          <w:tcPr>
            <w:tcW w:w="3696" w:type="dxa"/>
            <w:shd w:val="clear" w:color="auto" w:fill="auto"/>
            <w:vAlign w:val="center"/>
          </w:tcPr>
          <w:p w14:paraId="0F81DAE2">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高级算法设计与分析</w:t>
            </w:r>
          </w:p>
          <w:p w14:paraId="3CD6B2AA">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Algorithms and Programming Techniques</w:t>
            </w:r>
          </w:p>
        </w:tc>
        <w:tc>
          <w:tcPr>
            <w:tcW w:w="621" w:type="dxa"/>
            <w:shd w:val="clear" w:color="auto" w:fill="auto"/>
            <w:vAlign w:val="center"/>
          </w:tcPr>
          <w:p w14:paraId="6BAE21E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shd w:val="clear" w:color="auto" w:fill="auto"/>
            <w:vAlign w:val="center"/>
          </w:tcPr>
          <w:p w14:paraId="15B96728">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shd w:val="clear" w:color="auto" w:fill="auto"/>
            <w:vAlign w:val="center"/>
          </w:tcPr>
          <w:p w14:paraId="0D89A29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凌应标、戴智明、张子臻、冯剑琳、林瀚</w:t>
            </w:r>
          </w:p>
        </w:tc>
        <w:tc>
          <w:tcPr>
            <w:tcW w:w="1127" w:type="dxa"/>
            <w:shd w:val="clear" w:color="auto" w:fill="auto"/>
            <w:vAlign w:val="center"/>
          </w:tcPr>
          <w:p w14:paraId="1F55336F">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24C5C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589" w:type="dxa"/>
            <w:vMerge w:val="continue"/>
            <w:textDirection w:val="tbRlV"/>
          </w:tcPr>
          <w:p w14:paraId="396AEF3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tcPr>
          <w:p w14:paraId="31AD425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shd w:val="clear" w:color="auto" w:fill="auto"/>
            <w:vAlign w:val="center"/>
          </w:tcPr>
          <w:p w14:paraId="2A2D757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DCS6207</w:t>
            </w:r>
          </w:p>
        </w:tc>
        <w:tc>
          <w:tcPr>
            <w:tcW w:w="3696" w:type="dxa"/>
            <w:shd w:val="clear" w:color="auto" w:fill="auto"/>
            <w:vAlign w:val="center"/>
          </w:tcPr>
          <w:p w14:paraId="12E63D3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高级计算机体系结构</w:t>
            </w:r>
          </w:p>
          <w:p w14:paraId="76BCF3A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Computer Architecture</w:t>
            </w:r>
          </w:p>
        </w:tc>
        <w:tc>
          <w:tcPr>
            <w:tcW w:w="621" w:type="dxa"/>
            <w:shd w:val="clear" w:color="auto" w:fill="auto"/>
            <w:vAlign w:val="center"/>
          </w:tcPr>
          <w:p w14:paraId="38C54D9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shd w:val="clear" w:color="auto" w:fill="auto"/>
            <w:vAlign w:val="center"/>
          </w:tcPr>
          <w:p w14:paraId="5027FC5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shd w:val="clear" w:color="auto" w:fill="auto"/>
            <w:vAlign w:val="center"/>
          </w:tcPr>
          <w:p w14:paraId="73FD6EE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陈志广、吴迪、黄凯、胡淼、张献伟、黄聃、沈明华</w:t>
            </w:r>
          </w:p>
        </w:tc>
        <w:tc>
          <w:tcPr>
            <w:tcW w:w="1127" w:type="dxa"/>
            <w:shd w:val="clear" w:color="auto" w:fill="auto"/>
            <w:vAlign w:val="center"/>
          </w:tcPr>
          <w:p w14:paraId="4501F3C4">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110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589" w:type="dxa"/>
            <w:vMerge w:val="continue"/>
            <w:textDirection w:val="tbRlV"/>
          </w:tcPr>
          <w:p w14:paraId="1ABB2C1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718" w:type="dxa"/>
            <w:vMerge w:val="continue"/>
            <w:textDirection w:val="tbRlV"/>
          </w:tcPr>
          <w:p w14:paraId="5D510E9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shd w:val="clear" w:color="auto" w:fill="auto"/>
            <w:vAlign w:val="center"/>
          </w:tcPr>
          <w:p w14:paraId="679FA63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DCS5205</w:t>
            </w:r>
          </w:p>
        </w:tc>
        <w:tc>
          <w:tcPr>
            <w:tcW w:w="3696" w:type="dxa"/>
            <w:shd w:val="clear" w:color="auto" w:fill="auto"/>
            <w:vAlign w:val="center"/>
          </w:tcPr>
          <w:p w14:paraId="785B54B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高级数据库技术</w:t>
            </w:r>
          </w:p>
          <w:p w14:paraId="4E71E8B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Database Technology</w:t>
            </w:r>
          </w:p>
        </w:tc>
        <w:tc>
          <w:tcPr>
            <w:tcW w:w="621" w:type="dxa"/>
            <w:shd w:val="clear" w:color="auto" w:fill="auto"/>
            <w:vAlign w:val="center"/>
          </w:tcPr>
          <w:p w14:paraId="2838FC8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shd w:val="clear" w:color="auto" w:fill="auto"/>
            <w:vAlign w:val="center"/>
          </w:tcPr>
          <w:p w14:paraId="55CD651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shd w:val="clear" w:color="auto" w:fill="auto"/>
            <w:vAlign w:val="center"/>
          </w:tcPr>
          <w:p w14:paraId="34459E6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刘玉葆、饶洋辉</w:t>
            </w:r>
          </w:p>
        </w:tc>
        <w:tc>
          <w:tcPr>
            <w:tcW w:w="1127" w:type="dxa"/>
            <w:shd w:val="clear" w:color="auto" w:fill="auto"/>
            <w:vAlign w:val="center"/>
          </w:tcPr>
          <w:p w14:paraId="6C33DCEA">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0930A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589" w:type="dxa"/>
            <w:vMerge w:val="continue"/>
            <w:shd w:val="clear" w:color="auto" w:fill="auto"/>
            <w:textDirection w:val="tbRlV"/>
            <w:vAlign w:val="top"/>
          </w:tcPr>
          <w:p w14:paraId="59924F61">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p>
        </w:tc>
        <w:tc>
          <w:tcPr>
            <w:tcW w:w="718" w:type="dxa"/>
            <w:vMerge w:val="continue"/>
            <w:textDirection w:val="tbRlV"/>
          </w:tcPr>
          <w:p w14:paraId="2412AF8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shd w:val="clear" w:color="auto" w:fill="auto"/>
            <w:vAlign w:val="center"/>
          </w:tcPr>
          <w:p w14:paraId="319BFDE3">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DCS5242</w:t>
            </w:r>
          </w:p>
        </w:tc>
        <w:tc>
          <w:tcPr>
            <w:tcW w:w="3696" w:type="dxa"/>
            <w:shd w:val="clear" w:color="auto" w:fill="auto"/>
            <w:vAlign w:val="center"/>
          </w:tcPr>
          <w:p w14:paraId="103CC15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密码学前沿技术</w:t>
            </w:r>
          </w:p>
          <w:p w14:paraId="68FF155C">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Topics of Modern Cryptography</w:t>
            </w:r>
          </w:p>
        </w:tc>
        <w:tc>
          <w:tcPr>
            <w:tcW w:w="621" w:type="dxa"/>
            <w:shd w:val="clear" w:color="auto" w:fill="auto"/>
            <w:vAlign w:val="center"/>
          </w:tcPr>
          <w:p w14:paraId="192503E1">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shd w:val="clear" w:color="auto" w:fill="auto"/>
            <w:vAlign w:val="center"/>
          </w:tcPr>
          <w:p w14:paraId="33365DA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shd w:val="clear" w:color="auto" w:fill="auto"/>
            <w:vAlign w:val="center"/>
          </w:tcPr>
          <w:p w14:paraId="732F0C10">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张方国、田海博</w:t>
            </w:r>
          </w:p>
        </w:tc>
        <w:tc>
          <w:tcPr>
            <w:tcW w:w="1127" w:type="dxa"/>
            <w:shd w:val="clear" w:color="auto" w:fill="auto"/>
            <w:vAlign w:val="center"/>
          </w:tcPr>
          <w:p w14:paraId="3E38311D">
            <w:pPr>
              <w:jc w:val="center"/>
              <w:rPr>
                <w:rFonts w:hint="eastAsia" w:asciiTheme="minorHAnsi" w:hAnsiTheme="minorHAnsi" w:eastAsiaTheme="minorEastAsia" w:cstheme="minorBidi"/>
                <w:kern w:val="2"/>
                <w:sz w:val="21"/>
                <w:szCs w:val="24"/>
                <w:lang w:val="en-US" w:eastAsia="zh-CN" w:bidi="ar-SA"/>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F7B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307" w:type="dxa"/>
            <w:gridSpan w:val="2"/>
            <w:textDirection w:val="tbRlV"/>
            <w:vAlign w:val="center"/>
          </w:tcPr>
          <w:p w14:paraId="5EA1DF4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必修环节</w:t>
            </w:r>
          </w:p>
        </w:tc>
        <w:tc>
          <w:tcPr>
            <w:tcW w:w="1136" w:type="dxa"/>
            <w:vAlign w:val="center"/>
          </w:tcPr>
          <w:p w14:paraId="52DFCB8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DCS8904</w:t>
            </w:r>
          </w:p>
        </w:tc>
        <w:tc>
          <w:tcPr>
            <w:tcW w:w="3696" w:type="dxa"/>
            <w:vAlign w:val="center"/>
          </w:tcPr>
          <w:p w14:paraId="6C30919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专业实践</w:t>
            </w:r>
          </w:p>
          <w:p w14:paraId="0CADA8C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Professional Practice</w:t>
            </w:r>
          </w:p>
        </w:tc>
        <w:tc>
          <w:tcPr>
            <w:tcW w:w="621" w:type="dxa"/>
            <w:vAlign w:val="center"/>
          </w:tcPr>
          <w:p w14:paraId="249B355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144</w:t>
            </w:r>
          </w:p>
        </w:tc>
        <w:tc>
          <w:tcPr>
            <w:tcW w:w="590" w:type="dxa"/>
            <w:vAlign w:val="center"/>
          </w:tcPr>
          <w:p w14:paraId="6B83AD7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8</w:t>
            </w:r>
          </w:p>
        </w:tc>
        <w:tc>
          <w:tcPr>
            <w:tcW w:w="1435" w:type="dxa"/>
            <w:vAlign w:val="center"/>
          </w:tcPr>
          <w:p w14:paraId="0BD0273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企业导师校内导师</w:t>
            </w:r>
          </w:p>
        </w:tc>
        <w:tc>
          <w:tcPr>
            <w:tcW w:w="1127" w:type="dxa"/>
            <w:vAlign w:val="center"/>
          </w:tcPr>
          <w:p w14:paraId="405D7389">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p>
          <w:p w14:paraId="4C2EFB93">
            <w:pPr>
              <w:pStyle w:val="2"/>
              <w:ind w:left="0" w:leftChars="0" w:firstLine="0" w:firstLineChars="0"/>
              <w:rPr>
                <w:rFonts w:hint="default"/>
                <w:lang w:val="en-US" w:eastAsia="zh-CN"/>
              </w:rPr>
            </w:pPr>
            <w:r>
              <w:rPr>
                <w:rFonts w:hint="eastAsia" w:ascii="Times New Roman" w:hAnsi="Times New Roman" w:eastAsia="仿宋_GB2312" w:cs="Times New Roman"/>
                <w:color w:val="000000" w:themeColor="text1"/>
                <w:kern w:val="0"/>
                <w:sz w:val="16"/>
                <w:szCs w:val="16"/>
                <w:highlight w:val="none"/>
                <w:lang w:val="en-US" w:eastAsia="zh-CN"/>
                <w14:textFill>
                  <w14:solidFill>
                    <w14:schemeClr w14:val="tx1"/>
                  </w14:solidFill>
                </w14:textFill>
              </w:rPr>
              <w:t>（必选）</w:t>
            </w:r>
          </w:p>
        </w:tc>
      </w:tr>
      <w:tr w14:paraId="5208E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restart"/>
            <w:tcBorders>
              <w:left w:val="single" w:color="auto" w:sz="4" w:space="0"/>
              <w:right w:val="single" w:color="auto" w:sz="4" w:space="0"/>
            </w:tcBorders>
            <w:textDirection w:val="tbRlV"/>
            <w:vAlign w:val="center"/>
          </w:tcPr>
          <w:p w14:paraId="1AE5843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选修课</w:t>
            </w: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1201C6C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DCS5233</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2911510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界面问题数值方法</w:t>
            </w:r>
          </w:p>
          <w:p w14:paraId="7B3D43C5">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Numerical Methods for Interface Problems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1FB1E78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6CCF19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2DE9BEC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谭志军</w:t>
            </w:r>
          </w:p>
        </w:tc>
        <w:tc>
          <w:tcPr>
            <w:tcW w:w="1127" w:type="dxa"/>
            <w:tcBorders>
              <w:top w:val="single" w:color="auto" w:sz="4" w:space="0"/>
              <w:left w:val="single" w:color="auto" w:sz="4" w:space="0"/>
              <w:right w:val="single" w:color="auto" w:sz="4" w:space="0"/>
            </w:tcBorders>
            <w:shd w:val="clear" w:color="auto" w:fill="auto"/>
            <w:vAlign w:val="center"/>
          </w:tcPr>
          <w:p w14:paraId="3F0F5DC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46DD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568192F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407EB19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DCS5254</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344DD22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现代偏微分方程计算方法</w:t>
            </w:r>
          </w:p>
          <w:p w14:paraId="3FDE88E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Modern Methods for Calculating Partial  3Differential Equations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79414E4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C21D14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13DD490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邹青松、谭志军</w:t>
            </w:r>
          </w:p>
        </w:tc>
        <w:tc>
          <w:tcPr>
            <w:tcW w:w="1127" w:type="dxa"/>
            <w:tcBorders>
              <w:top w:val="single" w:color="auto" w:sz="4" w:space="0"/>
              <w:left w:val="single" w:color="auto" w:sz="4" w:space="0"/>
              <w:right w:val="single" w:color="auto" w:sz="4" w:space="0"/>
            </w:tcBorders>
            <w:shd w:val="clear" w:color="auto" w:fill="auto"/>
            <w:vAlign w:val="center"/>
          </w:tcPr>
          <w:p w14:paraId="16339FD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7837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697F409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04EAF45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DCS5256</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356F17E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复变函数</w:t>
            </w:r>
          </w:p>
          <w:p w14:paraId="74BAB81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Functions of Complex Variables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04A358E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BD1B19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753BB73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骆伟祺</w:t>
            </w:r>
          </w:p>
        </w:tc>
        <w:tc>
          <w:tcPr>
            <w:tcW w:w="1127" w:type="dxa"/>
            <w:tcBorders>
              <w:left w:val="single" w:color="auto" w:sz="4" w:space="0"/>
              <w:right w:val="single" w:color="auto" w:sz="4" w:space="0"/>
            </w:tcBorders>
            <w:shd w:val="clear" w:color="auto" w:fill="auto"/>
            <w:vAlign w:val="center"/>
          </w:tcPr>
          <w:p w14:paraId="10E2966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3E865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4315D6B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7EF3448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DCS5235</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58E6A29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线性积分方程理论与算法</w:t>
            </w:r>
          </w:p>
          <w:p w14:paraId="400852F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Theory and Algorithms of Linear Integral Equations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07E563F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B9F4E4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3A98DDB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江颖、衡益</w:t>
            </w:r>
          </w:p>
        </w:tc>
        <w:tc>
          <w:tcPr>
            <w:tcW w:w="1127" w:type="dxa"/>
            <w:tcBorders>
              <w:left w:val="single" w:color="auto" w:sz="4" w:space="0"/>
              <w:right w:val="single" w:color="auto" w:sz="4" w:space="0"/>
            </w:tcBorders>
            <w:shd w:val="clear" w:color="auto" w:fill="auto"/>
            <w:vAlign w:val="center"/>
          </w:tcPr>
          <w:p w14:paraId="63A7D27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683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5776519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097EF96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DCS5227</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03374F9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图论算法</w:t>
            </w:r>
          </w:p>
          <w:p w14:paraId="77447B3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Graph Theory Algorithm</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06C62E5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4BEE7E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2E40C17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冯剑琳</w:t>
            </w:r>
          </w:p>
        </w:tc>
        <w:tc>
          <w:tcPr>
            <w:tcW w:w="1127" w:type="dxa"/>
            <w:tcBorders>
              <w:left w:val="single" w:color="auto" w:sz="4" w:space="0"/>
              <w:right w:val="single" w:color="auto" w:sz="4" w:space="0"/>
            </w:tcBorders>
            <w:shd w:val="clear" w:color="auto" w:fill="auto"/>
            <w:vAlign w:val="center"/>
          </w:tcPr>
          <w:p w14:paraId="719A57E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3E5C2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25D01A0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6280C32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DCS5237</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6069491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量子计算</w:t>
            </w:r>
          </w:p>
          <w:p w14:paraId="1FACA8D4">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Quantum Computation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6E7D091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52BD2C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0C16966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邱道文、李绿周</w:t>
            </w:r>
          </w:p>
        </w:tc>
        <w:tc>
          <w:tcPr>
            <w:tcW w:w="1127" w:type="dxa"/>
            <w:tcBorders>
              <w:left w:val="single" w:color="auto" w:sz="4" w:space="0"/>
              <w:right w:val="single" w:color="auto" w:sz="4" w:space="0"/>
            </w:tcBorders>
            <w:shd w:val="clear" w:color="auto" w:fill="auto"/>
            <w:vAlign w:val="center"/>
          </w:tcPr>
          <w:p w14:paraId="63C0A16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97D9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5DD4A5F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77D7D67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DCS5704</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6101BA8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量子信息论与编码</w:t>
            </w:r>
          </w:p>
          <w:p w14:paraId="287AA89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Quantum Information Theory and Coding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5664571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2409E1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53F8918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马啸、李绿周</w:t>
            </w:r>
          </w:p>
        </w:tc>
        <w:tc>
          <w:tcPr>
            <w:tcW w:w="1127" w:type="dxa"/>
            <w:tcBorders>
              <w:left w:val="single" w:color="auto" w:sz="4" w:space="0"/>
              <w:right w:val="single" w:color="auto" w:sz="4" w:space="0"/>
            </w:tcBorders>
            <w:shd w:val="clear" w:color="auto" w:fill="auto"/>
            <w:vAlign w:val="center"/>
          </w:tcPr>
          <w:p w14:paraId="6E5C0C6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6C4E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327DB44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718774D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DCS5226</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5BAF1FB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形式语言与自动机理论</w:t>
            </w:r>
          </w:p>
          <w:p w14:paraId="451C1B3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Formal Language and Automata</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6272A57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967403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46FCA60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邱道文</w:t>
            </w:r>
          </w:p>
        </w:tc>
        <w:tc>
          <w:tcPr>
            <w:tcW w:w="1127" w:type="dxa"/>
            <w:tcBorders>
              <w:left w:val="single" w:color="auto" w:sz="4" w:space="0"/>
              <w:right w:val="single" w:color="auto" w:sz="4" w:space="0"/>
            </w:tcBorders>
            <w:shd w:val="clear" w:color="auto" w:fill="auto"/>
            <w:vAlign w:val="center"/>
          </w:tcPr>
          <w:p w14:paraId="1950E98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CD8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5566B99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7B645A7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DCS5705</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005EF78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计算机程序理论与模型</w:t>
            </w:r>
          </w:p>
          <w:p w14:paraId="5F2E8C3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Computer Program Theory and Modeling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65173F6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EBC80F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034E49E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万海</w:t>
            </w:r>
          </w:p>
        </w:tc>
        <w:tc>
          <w:tcPr>
            <w:tcW w:w="1127" w:type="dxa"/>
            <w:tcBorders>
              <w:left w:val="single" w:color="auto" w:sz="4" w:space="0"/>
              <w:right w:val="single" w:color="auto" w:sz="4" w:space="0"/>
            </w:tcBorders>
            <w:shd w:val="clear" w:color="auto" w:fill="auto"/>
            <w:vAlign w:val="center"/>
          </w:tcPr>
          <w:p w14:paraId="62A5DAE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166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73B861F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480CEAD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DCS5715</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7ADE7DF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可计算性与数理逻辑</w:t>
            </w:r>
          </w:p>
          <w:p w14:paraId="7E867B1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Computability and Mathematical Logic</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6EFE071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510DD7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23993A3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刘咏梅、周晓聪</w:t>
            </w:r>
          </w:p>
        </w:tc>
        <w:tc>
          <w:tcPr>
            <w:tcW w:w="1127" w:type="dxa"/>
            <w:tcBorders>
              <w:left w:val="single" w:color="auto" w:sz="4" w:space="0"/>
              <w:right w:val="single" w:color="auto" w:sz="4" w:space="0"/>
            </w:tcBorders>
            <w:shd w:val="clear" w:color="auto" w:fill="auto"/>
            <w:vAlign w:val="center"/>
          </w:tcPr>
          <w:p w14:paraId="45E52CD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68BD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5E7A501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2DC3D2C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DCS5230</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0E6D59C9">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有限域基础</w:t>
            </w:r>
          </w:p>
          <w:p w14:paraId="74BDE85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Introduction to Finite Fields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565BFA6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9092B6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39C41DC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韦宝典、杜育松</w:t>
            </w:r>
          </w:p>
        </w:tc>
        <w:tc>
          <w:tcPr>
            <w:tcW w:w="1127" w:type="dxa"/>
            <w:tcBorders>
              <w:left w:val="single" w:color="auto" w:sz="4" w:space="0"/>
              <w:right w:val="single" w:color="auto" w:sz="4" w:space="0"/>
            </w:tcBorders>
            <w:shd w:val="clear" w:color="auto" w:fill="auto"/>
            <w:vAlign w:val="center"/>
          </w:tcPr>
          <w:p w14:paraId="19AA9E6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31C3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400E872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6BC54DD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DCS5238</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489DBD2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边缘计算</w:t>
            </w:r>
          </w:p>
          <w:p w14:paraId="6335B294">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Edge Computing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2350C15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FE7F91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50BFE0A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陈旭、周知、于帅</w:t>
            </w:r>
          </w:p>
        </w:tc>
        <w:tc>
          <w:tcPr>
            <w:tcW w:w="1127" w:type="dxa"/>
            <w:tcBorders>
              <w:left w:val="single" w:color="auto" w:sz="4" w:space="0"/>
              <w:right w:val="single" w:color="auto" w:sz="4" w:space="0"/>
            </w:tcBorders>
            <w:shd w:val="clear" w:color="auto" w:fill="auto"/>
            <w:vAlign w:val="center"/>
          </w:tcPr>
          <w:p w14:paraId="05E07B5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643A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0CCDA86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47019B7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DCS5231</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686D5C6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大数据存储技术</w:t>
            </w:r>
          </w:p>
          <w:p w14:paraId="79B2CCA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Big Data Storage Technology</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470CF98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0F00E3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16E6F65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陈志广、肖侬</w:t>
            </w:r>
          </w:p>
        </w:tc>
        <w:tc>
          <w:tcPr>
            <w:tcW w:w="1127" w:type="dxa"/>
            <w:tcBorders>
              <w:left w:val="single" w:color="auto" w:sz="4" w:space="0"/>
              <w:right w:val="single" w:color="auto" w:sz="4" w:space="0"/>
            </w:tcBorders>
            <w:shd w:val="clear" w:color="auto" w:fill="auto"/>
            <w:vAlign w:val="center"/>
          </w:tcPr>
          <w:p w14:paraId="52CACC9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6825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63D3A2B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4166E37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DCS5258</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742053B5">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区块链原理与技术</w:t>
            </w:r>
          </w:p>
          <w:p w14:paraId="266D164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Blockchain Principles and Technologies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3A38359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D16D1F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20B19FD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陈亮</w:t>
            </w:r>
          </w:p>
        </w:tc>
        <w:tc>
          <w:tcPr>
            <w:tcW w:w="1127" w:type="dxa"/>
            <w:tcBorders>
              <w:left w:val="single" w:color="auto" w:sz="4" w:space="0"/>
              <w:right w:val="single" w:color="auto" w:sz="4" w:space="0"/>
            </w:tcBorders>
            <w:shd w:val="clear" w:color="auto" w:fill="auto"/>
            <w:vAlign w:val="center"/>
          </w:tcPr>
          <w:p w14:paraId="22E028A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401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28A736D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563A419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DCS5714</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6A8E192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无线通信与网络</w:t>
            </w:r>
          </w:p>
          <w:p w14:paraId="4E55FFC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Wireless Communications and Networking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1F66909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1741E9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7ECFA0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龚杰、李全忠、蔡穗华</w:t>
            </w:r>
          </w:p>
        </w:tc>
        <w:tc>
          <w:tcPr>
            <w:tcW w:w="1127" w:type="dxa"/>
            <w:tcBorders>
              <w:left w:val="single" w:color="auto" w:sz="4" w:space="0"/>
              <w:right w:val="single" w:color="auto" w:sz="4" w:space="0"/>
            </w:tcBorders>
            <w:shd w:val="clear" w:color="auto" w:fill="auto"/>
            <w:vAlign w:val="center"/>
          </w:tcPr>
          <w:p w14:paraId="6B9750C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4D4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6B9039C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3D3B1DC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DCS5712</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11E961B5">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嵌入式系统</w:t>
            </w:r>
          </w:p>
          <w:p w14:paraId="7AB1D72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Embedded Systems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3F7A14B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983CC9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5BB3153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黄凯、陈刚、赵帅</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吴贺俊</w:t>
            </w:r>
          </w:p>
        </w:tc>
        <w:tc>
          <w:tcPr>
            <w:tcW w:w="1127" w:type="dxa"/>
            <w:tcBorders>
              <w:left w:val="single" w:color="auto" w:sz="4" w:space="0"/>
              <w:right w:val="single" w:color="auto" w:sz="4" w:space="0"/>
            </w:tcBorders>
            <w:shd w:val="clear" w:color="auto" w:fill="auto"/>
            <w:vAlign w:val="center"/>
          </w:tcPr>
          <w:p w14:paraId="0C88233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9B41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115BB28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193A83A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DCS5713</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68EA82B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高级分布式系统</w:t>
            </w:r>
          </w:p>
          <w:p w14:paraId="66F4B49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Distributed Systems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5A0A278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032E9B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71B1CA6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陈鹏飞</w:t>
            </w:r>
          </w:p>
        </w:tc>
        <w:tc>
          <w:tcPr>
            <w:tcW w:w="1127" w:type="dxa"/>
            <w:tcBorders>
              <w:left w:val="single" w:color="auto" w:sz="4" w:space="0"/>
              <w:right w:val="single" w:color="auto" w:sz="4" w:space="0"/>
            </w:tcBorders>
            <w:shd w:val="clear" w:color="auto" w:fill="auto"/>
            <w:vAlign w:val="center"/>
          </w:tcPr>
          <w:p w14:paraId="2124CA3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4F25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0F88722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268DC6D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DCS6214</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7BC6E4F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高级计算机网络</w:t>
            </w:r>
          </w:p>
          <w:p w14:paraId="2C6509C5">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Computer Networks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13D5924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81BCEA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278F52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温武少、张晓溪、黄倩怡</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谢逸</w:t>
            </w:r>
          </w:p>
        </w:tc>
        <w:tc>
          <w:tcPr>
            <w:tcW w:w="1127" w:type="dxa"/>
            <w:tcBorders>
              <w:left w:val="single" w:color="auto" w:sz="4" w:space="0"/>
              <w:right w:val="single" w:color="auto" w:sz="4" w:space="0"/>
            </w:tcBorders>
            <w:shd w:val="clear" w:color="auto" w:fill="auto"/>
            <w:vAlign w:val="center"/>
          </w:tcPr>
          <w:p w14:paraId="0CD5917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7602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428530A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63240B0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DCS5225</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6045D6C5">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数据挖掘</w:t>
            </w:r>
          </w:p>
          <w:p w14:paraId="3C4476D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Mining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4CA91BB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042FEE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467C86E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潘嵘、王昌栋、梁上松</w:t>
            </w:r>
          </w:p>
        </w:tc>
        <w:tc>
          <w:tcPr>
            <w:tcW w:w="1127" w:type="dxa"/>
            <w:tcBorders>
              <w:left w:val="single" w:color="auto" w:sz="4" w:space="0"/>
              <w:right w:val="single" w:color="auto" w:sz="4" w:space="0"/>
            </w:tcBorders>
            <w:shd w:val="clear" w:color="auto" w:fill="auto"/>
            <w:vAlign w:val="center"/>
          </w:tcPr>
          <w:p w14:paraId="4D6D9C7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68BC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2F719DF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64D2780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DCS5206</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74FBB22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数字图像处理</w:t>
            </w:r>
          </w:p>
          <w:p w14:paraId="46F1508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Digital Image Processing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1E5FBCE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65508E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3283AD8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rPr>
              <w:t>谢晓华、赖剑煌、郑慧诚、刘宁、曾坤、潘炎、张青</w:t>
            </w:r>
          </w:p>
        </w:tc>
        <w:tc>
          <w:tcPr>
            <w:tcW w:w="1127" w:type="dxa"/>
            <w:tcBorders>
              <w:left w:val="single" w:color="auto" w:sz="4" w:space="0"/>
              <w:right w:val="single" w:color="auto" w:sz="4" w:space="0"/>
            </w:tcBorders>
            <w:shd w:val="clear" w:color="auto" w:fill="auto"/>
            <w:vAlign w:val="center"/>
          </w:tcPr>
          <w:p w14:paraId="0A41D6E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AF64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20744D1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676121E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DCS5232</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23D3A91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深度学习前沿</w:t>
            </w:r>
          </w:p>
          <w:p w14:paraId="5F6ABEA4">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Frontiers of Deep Learning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6E1C9ED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7C0402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41452C4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张冬雨、潘炎、李冠彬、王可泽</w:t>
            </w:r>
          </w:p>
        </w:tc>
        <w:tc>
          <w:tcPr>
            <w:tcW w:w="1127" w:type="dxa"/>
            <w:tcBorders>
              <w:left w:val="single" w:color="auto" w:sz="4" w:space="0"/>
              <w:right w:val="single" w:color="auto" w:sz="4" w:space="0"/>
            </w:tcBorders>
            <w:shd w:val="clear" w:color="auto" w:fill="auto"/>
            <w:vAlign w:val="center"/>
          </w:tcPr>
          <w:p w14:paraId="351C6B2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9F4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33BE2EC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65DF50D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DCS5228</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74DD5C5A">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知识表示与推理</w:t>
            </w:r>
          </w:p>
          <w:p w14:paraId="39672C64">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Knowledge Representation and Reasoning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0FB95F7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CDC8FA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0265AC2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刘咏梅、万海</w:t>
            </w:r>
          </w:p>
        </w:tc>
        <w:tc>
          <w:tcPr>
            <w:tcW w:w="1127" w:type="dxa"/>
            <w:tcBorders>
              <w:left w:val="single" w:color="auto" w:sz="4" w:space="0"/>
              <w:right w:val="single" w:color="auto" w:sz="4" w:space="0"/>
            </w:tcBorders>
            <w:shd w:val="clear" w:color="auto" w:fill="auto"/>
            <w:vAlign w:val="center"/>
          </w:tcPr>
          <w:p w14:paraId="68B1113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0A0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21467F0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28A1BB2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DCS5255</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5A711F22">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数据科学与工程</w:t>
            </w:r>
          </w:p>
          <w:p w14:paraId="575C0622">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Science and Engineering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68EBFDF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808918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6A7B6B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王昌栋</w:t>
            </w:r>
          </w:p>
        </w:tc>
        <w:tc>
          <w:tcPr>
            <w:tcW w:w="1127" w:type="dxa"/>
            <w:tcBorders>
              <w:left w:val="single" w:color="auto" w:sz="4" w:space="0"/>
              <w:right w:val="single" w:color="auto" w:sz="4" w:space="0"/>
            </w:tcBorders>
            <w:shd w:val="clear" w:color="auto" w:fill="auto"/>
            <w:vAlign w:val="center"/>
          </w:tcPr>
          <w:p w14:paraId="736C361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5B6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325FF42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50A33B2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DCS5716</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4919ED45">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模式识别与计算机视觉</w:t>
            </w:r>
          </w:p>
          <w:p w14:paraId="10B3230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pattern recognition and computer vision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234967B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6F1858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41BD7C8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rPr>
              <w:t>郑伟诗、郑慧诚、胡建芳、马锦华、王瑞轩</w:t>
            </w:r>
            <w:r>
              <w:rPr>
                <w:rFonts w:hint="eastAsia" w:eastAsia="仿宋_GB2312"/>
                <w:kern w:val="0"/>
                <w:sz w:val="18"/>
                <w:szCs w:val="18"/>
                <w:lang w:eastAsia="zh-CN"/>
              </w:rPr>
              <w:t>、</w:t>
            </w:r>
            <w:r>
              <w:rPr>
                <w:rFonts w:hint="eastAsia" w:eastAsia="仿宋_GB2312"/>
                <w:kern w:val="0"/>
                <w:sz w:val="18"/>
                <w:szCs w:val="18"/>
                <w:lang w:val="en-US" w:eastAsia="zh-CN"/>
              </w:rPr>
              <w:t>王昌栋</w:t>
            </w:r>
          </w:p>
        </w:tc>
        <w:tc>
          <w:tcPr>
            <w:tcW w:w="1127" w:type="dxa"/>
            <w:tcBorders>
              <w:left w:val="single" w:color="auto" w:sz="4" w:space="0"/>
              <w:right w:val="single" w:color="auto" w:sz="4" w:space="0"/>
            </w:tcBorders>
            <w:shd w:val="clear" w:color="auto" w:fill="auto"/>
            <w:vAlign w:val="center"/>
          </w:tcPr>
          <w:p w14:paraId="71478D6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5D31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07FFD9E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7635BF1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DCS5234</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1DCB7A0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自然语言处理</w:t>
            </w:r>
          </w:p>
          <w:p w14:paraId="0236087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Natural Language Processing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6C8D4C5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5F551AA">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7276DE3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w:t>
            </w:r>
          </w:p>
        </w:tc>
        <w:tc>
          <w:tcPr>
            <w:tcW w:w="1127" w:type="dxa"/>
            <w:tcBorders>
              <w:left w:val="single" w:color="auto" w:sz="4" w:space="0"/>
              <w:right w:val="single" w:color="auto" w:sz="4" w:space="0"/>
            </w:tcBorders>
            <w:shd w:val="clear" w:color="auto" w:fill="auto"/>
            <w:vAlign w:val="center"/>
          </w:tcPr>
          <w:p w14:paraId="260BE9F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7EDB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5188A9F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368B81D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DCS5257</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3C769B9D">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强化学习原理及应用</w:t>
            </w:r>
          </w:p>
          <w:p w14:paraId="225A0FF7">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Principles and Applications of Reinforcement Learning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4DE8DF4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A34E64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5F68907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余超</w:t>
            </w:r>
          </w:p>
        </w:tc>
        <w:tc>
          <w:tcPr>
            <w:tcW w:w="1127" w:type="dxa"/>
            <w:tcBorders>
              <w:left w:val="single" w:color="auto" w:sz="4" w:space="0"/>
              <w:right w:val="single" w:color="auto" w:sz="4" w:space="0"/>
            </w:tcBorders>
            <w:shd w:val="clear" w:color="auto" w:fill="auto"/>
            <w:vAlign w:val="center"/>
          </w:tcPr>
          <w:p w14:paraId="1D74CA8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505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409E024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2FB051F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DCS5243</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4947E0E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数据隐私保护与安全计算</w:t>
            </w:r>
          </w:p>
          <w:p w14:paraId="1E6B53B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Privacy Protection and Secure Computing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05CEAD0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73FDFB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3512491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桑应朋、郑培嘉</w:t>
            </w:r>
          </w:p>
        </w:tc>
        <w:tc>
          <w:tcPr>
            <w:tcW w:w="1127" w:type="dxa"/>
            <w:tcBorders>
              <w:left w:val="single" w:color="auto" w:sz="4" w:space="0"/>
              <w:right w:val="single" w:color="auto" w:sz="4" w:space="0"/>
            </w:tcBorders>
            <w:shd w:val="clear" w:color="auto" w:fill="auto"/>
            <w:vAlign w:val="center"/>
          </w:tcPr>
          <w:p w14:paraId="245D6C3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52DE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2A26865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540763E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DCS5244</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7325614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多媒体内容安全</w:t>
            </w:r>
          </w:p>
          <w:p w14:paraId="5743474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Multimedia Content Security</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160C6B9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B140C3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CFF3EC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康显桂</w:t>
            </w:r>
          </w:p>
        </w:tc>
        <w:tc>
          <w:tcPr>
            <w:tcW w:w="1127" w:type="dxa"/>
            <w:tcBorders>
              <w:left w:val="single" w:color="auto" w:sz="4" w:space="0"/>
              <w:right w:val="single" w:color="auto" w:sz="4" w:space="0"/>
            </w:tcBorders>
            <w:shd w:val="clear" w:color="auto" w:fill="auto"/>
            <w:vAlign w:val="center"/>
          </w:tcPr>
          <w:p w14:paraId="0143E39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007E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468B9D2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7D76695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DCS5220</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6847FF94">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高级网络与信息安全技术</w:t>
            </w:r>
          </w:p>
          <w:p w14:paraId="39DEB0D6">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Network and Information Security Technology</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4BAE424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F427B1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54FB0E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郑培嘉、卢伟、谢逸、温武少</w:t>
            </w:r>
          </w:p>
        </w:tc>
        <w:tc>
          <w:tcPr>
            <w:tcW w:w="1127" w:type="dxa"/>
            <w:tcBorders>
              <w:left w:val="single" w:color="auto" w:sz="4" w:space="0"/>
              <w:right w:val="single" w:color="auto" w:sz="4" w:space="0"/>
            </w:tcBorders>
            <w:shd w:val="clear" w:color="auto" w:fill="auto"/>
            <w:vAlign w:val="center"/>
          </w:tcPr>
          <w:p w14:paraId="3139EDD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661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1023118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2BC3CEB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DCS5259</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4ECDAB7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网络安全创新思辨</w:t>
            </w:r>
          </w:p>
          <w:p w14:paraId="133699E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Cybersecurity Innovative Thinking and Critical Reasoning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32BA91F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8ADEF2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115930C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金舒原</w:t>
            </w:r>
          </w:p>
        </w:tc>
        <w:tc>
          <w:tcPr>
            <w:tcW w:w="1127" w:type="dxa"/>
            <w:tcBorders>
              <w:left w:val="single" w:color="auto" w:sz="4" w:space="0"/>
              <w:right w:val="single" w:color="auto" w:sz="4" w:space="0"/>
            </w:tcBorders>
            <w:shd w:val="clear" w:color="auto" w:fill="auto"/>
            <w:vAlign w:val="center"/>
          </w:tcPr>
          <w:p w14:paraId="27A6C8D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3D724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7AD48C8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065C27C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DCS5246</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6E52096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面向对象技术</w:t>
            </w:r>
          </w:p>
          <w:p w14:paraId="50418FA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Object-oriented Technology</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3CD1553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1204AF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613644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王青、温武少</w:t>
            </w:r>
          </w:p>
        </w:tc>
        <w:tc>
          <w:tcPr>
            <w:tcW w:w="1127" w:type="dxa"/>
            <w:tcBorders>
              <w:left w:val="single" w:color="auto" w:sz="4" w:space="0"/>
              <w:right w:val="single" w:color="auto" w:sz="4" w:space="0"/>
            </w:tcBorders>
            <w:shd w:val="clear" w:color="auto" w:fill="auto"/>
            <w:vAlign w:val="center"/>
          </w:tcPr>
          <w:p w14:paraId="4E902BD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4680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432AC39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7ECB7CC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DCS5247</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198944B2">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计算可视媒体</w:t>
            </w:r>
          </w:p>
          <w:p w14:paraId="3AB76A8C">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Computational Visual Media</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0D2545E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EA8E1F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4463587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苏卓、高成英、刘宁</w:t>
            </w:r>
          </w:p>
        </w:tc>
        <w:tc>
          <w:tcPr>
            <w:tcW w:w="1127" w:type="dxa"/>
            <w:tcBorders>
              <w:left w:val="single" w:color="auto" w:sz="4" w:space="0"/>
              <w:right w:val="single" w:color="auto" w:sz="4" w:space="0"/>
            </w:tcBorders>
            <w:shd w:val="clear" w:color="auto" w:fill="auto"/>
            <w:vAlign w:val="center"/>
          </w:tcPr>
          <w:p w14:paraId="6B93673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445A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04D5623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4D91842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DCS5250</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647CE2C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虚拟现实与可视化</w:t>
            </w:r>
          </w:p>
          <w:p w14:paraId="065E6B74">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Virtual Reality and Visualization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18A9158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E7402A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1E0148D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陶钧</w:t>
            </w:r>
          </w:p>
        </w:tc>
        <w:tc>
          <w:tcPr>
            <w:tcW w:w="1127" w:type="dxa"/>
            <w:tcBorders>
              <w:left w:val="single" w:color="auto" w:sz="4" w:space="0"/>
              <w:right w:val="single" w:color="auto" w:sz="4" w:space="0"/>
            </w:tcBorders>
            <w:shd w:val="clear" w:color="auto" w:fill="auto"/>
            <w:vAlign w:val="center"/>
          </w:tcPr>
          <w:p w14:paraId="7DCDCBB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2D2A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07A949A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4C48458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DCS5253</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0E319F18">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生物信息计算前沿</w:t>
            </w:r>
          </w:p>
          <w:p w14:paraId="7C4C6AF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Frontiers of Bioinformatics Computing</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2944FE1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530517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5017F7E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杨跃东、王瑞轩、王桢</w:t>
            </w:r>
          </w:p>
        </w:tc>
        <w:tc>
          <w:tcPr>
            <w:tcW w:w="1127" w:type="dxa"/>
            <w:tcBorders>
              <w:left w:val="single" w:color="auto" w:sz="4" w:space="0"/>
              <w:right w:val="single" w:color="auto" w:sz="4" w:space="0"/>
            </w:tcBorders>
            <w:shd w:val="clear" w:color="auto" w:fill="auto"/>
            <w:vAlign w:val="center"/>
          </w:tcPr>
          <w:p w14:paraId="1FBBF45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58C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1B73BF5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bookmarkStart w:id="0" w:name="_GoBack" w:colFirst="3" w:colLast="3"/>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1E3B188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DCS5260</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7BF85A40">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HPC+AI科学计算前沿</w:t>
            </w:r>
          </w:p>
          <w:p w14:paraId="168A00C2">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HPC+AI for Science</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49D92C6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209133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37073F3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江颖等</w:t>
            </w:r>
          </w:p>
        </w:tc>
        <w:tc>
          <w:tcPr>
            <w:tcW w:w="1127" w:type="dxa"/>
            <w:tcBorders>
              <w:left w:val="single" w:color="auto" w:sz="4" w:space="0"/>
              <w:right w:val="single" w:color="auto" w:sz="4" w:space="0"/>
            </w:tcBorders>
            <w:shd w:val="clear" w:color="auto" w:fill="auto"/>
            <w:vAlign w:val="center"/>
          </w:tcPr>
          <w:p w14:paraId="47FBE3F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A175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0BAA45A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498CF58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DCS5702</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0CC9DDA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人工智能大数据与超算融合系统Artificial Intelligence Big Data and Supercomputing Integrated System</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0C91864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0E1884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CEFC81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吴维刚、江颖、陈志广</w:t>
            </w:r>
          </w:p>
        </w:tc>
        <w:tc>
          <w:tcPr>
            <w:tcW w:w="1127" w:type="dxa"/>
            <w:tcBorders>
              <w:left w:val="single" w:color="auto" w:sz="4" w:space="0"/>
              <w:right w:val="single" w:color="auto" w:sz="4" w:space="0"/>
            </w:tcBorders>
            <w:shd w:val="clear" w:color="auto" w:fill="auto"/>
            <w:vAlign w:val="center"/>
          </w:tcPr>
          <w:p w14:paraId="74DEE4E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B026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381F3701">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0A27E78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DCS5719</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19FEF74E">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生成式人工智能</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Generative AI</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2D17C957">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1E9B2A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75A1FB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王广润、林倞、魏朋旭</w:t>
            </w:r>
          </w:p>
        </w:tc>
        <w:tc>
          <w:tcPr>
            <w:tcW w:w="1127" w:type="dxa"/>
            <w:tcBorders>
              <w:left w:val="single" w:color="auto" w:sz="4" w:space="0"/>
              <w:right w:val="single" w:color="auto" w:sz="4" w:space="0"/>
            </w:tcBorders>
            <w:shd w:val="clear" w:color="auto" w:fill="auto"/>
            <w:vAlign w:val="center"/>
          </w:tcPr>
          <w:p w14:paraId="799EBF09">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6FE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7760D2F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77A4B465">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DCS6906</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39CE20D1">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智慧医疗与医学大模型</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Intelligent Healthcare and Medical Foundation Models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1CDA528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45485C0">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6A35F5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李冠彬</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1127" w:type="dxa"/>
            <w:tcBorders>
              <w:left w:val="single" w:color="auto" w:sz="4" w:space="0"/>
              <w:right w:val="single" w:color="auto" w:sz="4" w:space="0"/>
            </w:tcBorders>
            <w:shd w:val="clear" w:color="auto" w:fill="auto"/>
            <w:vAlign w:val="center"/>
          </w:tcPr>
          <w:p w14:paraId="41FD63D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5683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74C9EC8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44FA273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DCS6905</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657A86DF">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面向AI原生系统的智能运维</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Intelligent Operation towards AI Native Syetems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523CF8C6">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842F10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695F963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陈鹏飞（校企核心课程）</w:t>
            </w:r>
          </w:p>
        </w:tc>
        <w:tc>
          <w:tcPr>
            <w:tcW w:w="1127" w:type="dxa"/>
            <w:tcBorders>
              <w:left w:val="single" w:color="auto" w:sz="4" w:space="0"/>
              <w:right w:val="single" w:color="auto" w:sz="4" w:space="0"/>
            </w:tcBorders>
            <w:shd w:val="clear" w:color="auto" w:fill="auto"/>
            <w:vAlign w:val="center"/>
          </w:tcPr>
          <w:p w14:paraId="7261FEE2">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5893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190C392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1E26405D">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DCS6908</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65307E1B">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具身智能机器人训练与虚实迁移</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Training and Sim-to-Real Transfer for Embodied Intelligent Robots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1081859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4EFBCE3">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707C75F4">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王可泽（校企核心课程）</w:t>
            </w:r>
          </w:p>
        </w:tc>
        <w:tc>
          <w:tcPr>
            <w:tcW w:w="1127" w:type="dxa"/>
            <w:tcBorders>
              <w:left w:val="single" w:color="auto" w:sz="4" w:space="0"/>
              <w:right w:val="single" w:color="auto" w:sz="4" w:space="0"/>
            </w:tcBorders>
            <w:shd w:val="clear" w:color="auto" w:fill="auto"/>
            <w:vAlign w:val="center"/>
          </w:tcPr>
          <w:p w14:paraId="5CE814EF">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4324F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307" w:type="dxa"/>
            <w:gridSpan w:val="2"/>
            <w:vMerge w:val="continue"/>
            <w:tcBorders>
              <w:left w:val="single" w:color="auto" w:sz="4" w:space="0"/>
              <w:right w:val="single" w:color="auto" w:sz="4" w:space="0"/>
            </w:tcBorders>
            <w:textDirection w:val="tbRlV"/>
            <w:vAlign w:val="center"/>
          </w:tcPr>
          <w:p w14:paraId="7772F33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1136" w:type="dxa"/>
            <w:tcBorders>
              <w:top w:val="single" w:color="auto" w:sz="4" w:space="0"/>
              <w:left w:val="single" w:color="auto" w:sz="4" w:space="0"/>
              <w:bottom w:val="single" w:color="auto" w:sz="4" w:space="0"/>
              <w:right w:val="single" w:color="auto" w:sz="4" w:space="0"/>
            </w:tcBorders>
            <w:shd w:val="clear" w:color="auto" w:fill="auto"/>
            <w:vAlign w:val="center"/>
          </w:tcPr>
          <w:p w14:paraId="3E2369DB">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DCS6907</w:t>
            </w:r>
          </w:p>
        </w:tc>
        <w:tc>
          <w:tcPr>
            <w:tcW w:w="3696" w:type="dxa"/>
            <w:tcBorders>
              <w:top w:val="single" w:color="auto" w:sz="4" w:space="0"/>
              <w:left w:val="single" w:color="auto" w:sz="4" w:space="0"/>
              <w:bottom w:val="single" w:color="auto" w:sz="4" w:space="0"/>
              <w:right w:val="single" w:color="auto" w:sz="4" w:space="0"/>
            </w:tcBorders>
            <w:shd w:val="clear" w:color="auto" w:fill="auto"/>
            <w:vAlign w:val="center"/>
          </w:tcPr>
          <w:p w14:paraId="70FA8D53">
            <w:pPr>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通用人工智能</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Artificial General Intelligence</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2221580C">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8628DCE">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14:paraId="11D839C8">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魏朋旭</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1127" w:type="dxa"/>
            <w:tcBorders>
              <w:left w:val="single" w:color="auto" w:sz="4" w:space="0"/>
              <w:right w:val="single" w:color="auto" w:sz="4" w:space="0"/>
            </w:tcBorders>
            <w:shd w:val="clear" w:color="auto" w:fill="auto"/>
            <w:vAlign w:val="center"/>
          </w:tcPr>
          <w:p w14:paraId="7DFA3A0A">
            <w:pPr>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bookmarkEnd w:id="0"/>
    </w:tbl>
    <w:p w14:paraId="7E9125F6">
      <w:pPr>
        <w:pStyle w:val="2"/>
        <w:ind w:left="0" w:leftChars="0" w:firstLine="0" w:firstLineChars="0"/>
        <w:rPr>
          <w:rFonts w:hint="default"/>
        </w:rPr>
      </w:pPr>
    </w:p>
    <w:p w14:paraId="6DCC2189">
      <w:pPr>
        <w:numPr>
          <w:ilvl w:val="0"/>
          <w:numId w:val="1"/>
        </w:numPr>
        <w:spacing w:line="500" w:lineRule="exact"/>
        <w:ind w:left="147"/>
        <w:rPr>
          <w:rFonts w:ascii="Times New Roman" w:hAnsi="Times New Roman" w:eastAsia="黑体" w:cs="Times New Roman"/>
          <w:bCs/>
          <w:color w:val="auto"/>
          <w:sz w:val="32"/>
          <w:szCs w:val="32"/>
          <w:highlight w:val="none"/>
        </w:rPr>
      </w:pPr>
      <w:r>
        <w:rPr>
          <w:rFonts w:ascii="Times New Roman" w:hAnsi="Times New Roman" w:eastAsia="黑体" w:cs="Times New Roman"/>
          <w:bCs/>
          <w:color w:val="auto"/>
          <w:sz w:val="32"/>
          <w:szCs w:val="32"/>
          <w:highlight w:val="none"/>
        </w:rPr>
        <w:t>培养环节与要求</w:t>
      </w:r>
    </w:p>
    <w:p w14:paraId="731B2340">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按中山大学《学位与研究生教育工作手册》、《中山大学研究生培养方案的规定》和《中山大学博士研究生培养规定》等有关规定，电子信息工程博士专业学位研究生（不含硕博连读、直博生）依照下表所列环节和要求开展培养。</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Layout w:type="fixed"/>
        <w:tblCellMar>
          <w:top w:w="0" w:type="dxa"/>
          <w:left w:w="0" w:type="dxa"/>
          <w:bottom w:w="0" w:type="dxa"/>
          <w:right w:w="0" w:type="dxa"/>
        </w:tblCellMar>
      </w:tblPr>
      <w:tblGrid>
        <w:gridCol w:w="1560"/>
        <w:gridCol w:w="1852"/>
        <w:gridCol w:w="3959"/>
        <w:gridCol w:w="1843"/>
      </w:tblGrid>
      <w:tr w14:paraId="3183C1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500" w:hRule="atLeast"/>
          <w:jc w:val="center"/>
        </w:trPr>
        <w:tc>
          <w:tcPr>
            <w:tcW w:w="1560" w:type="dxa"/>
            <w:shd w:val="clear" w:color="auto" w:fill="FFFFFF"/>
            <w:vAlign w:val="center"/>
          </w:tcPr>
          <w:p w14:paraId="2A63A299">
            <w:pPr>
              <w:pStyle w:val="15"/>
              <w:ind w:left="108" w:right="100"/>
              <w:jc w:val="center"/>
              <w:rPr>
                <w:rFonts w:eastAsia="仿宋"/>
                <w:b/>
                <w:color w:val="auto"/>
                <w:sz w:val="20"/>
                <w:highlight w:val="none"/>
              </w:rPr>
            </w:pPr>
            <w:r>
              <w:rPr>
                <w:rFonts w:eastAsia="仿宋"/>
                <w:b/>
                <w:color w:val="auto"/>
                <w:sz w:val="20"/>
                <w:highlight w:val="none"/>
              </w:rPr>
              <w:t>时间表</w:t>
            </w:r>
          </w:p>
        </w:tc>
        <w:tc>
          <w:tcPr>
            <w:tcW w:w="1852" w:type="dxa"/>
            <w:shd w:val="clear" w:color="auto" w:fill="FFFFFF"/>
            <w:vAlign w:val="center"/>
          </w:tcPr>
          <w:p w14:paraId="66F38FFF">
            <w:pPr>
              <w:pStyle w:val="15"/>
              <w:ind w:right="986"/>
              <w:jc w:val="center"/>
              <w:rPr>
                <w:rFonts w:eastAsia="仿宋"/>
                <w:b/>
                <w:color w:val="auto"/>
                <w:sz w:val="20"/>
                <w:highlight w:val="none"/>
              </w:rPr>
            </w:pPr>
            <w:r>
              <w:rPr>
                <w:rFonts w:hint="eastAsia" w:eastAsia="仿宋"/>
                <w:b/>
                <w:color w:val="auto"/>
                <w:sz w:val="20"/>
                <w:highlight w:val="none"/>
              </w:rPr>
              <w:t>培养内容</w:t>
            </w:r>
          </w:p>
        </w:tc>
        <w:tc>
          <w:tcPr>
            <w:tcW w:w="3959" w:type="dxa"/>
            <w:shd w:val="clear" w:color="auto" w:fill="FFFFFF"/>
            <w:vAlign w:val="center"/>
          </w:tcPr>
          <w:p w14:paraId="6E9D5D11">
            <w:pPr>
              <w:pStyle w:val="15"/>
              <w:ind w:left="994" w:right="986"/>
              <w:jc w:val="center"/>
              <w:rPr>
                <w:rFonts w:eastAsia="仿宋"/>
                <w:b/>
                <w:color w:val="auto"/>
                <w:sz w:val="20"/>
                <w:highlight w:val="none"/>
              </w:rPr>
            </w:pPr>
            <w:r>
              <w:rPr>
                <w:rFonts w:eastAsia="仿宋"/>
                <w:b/>
                <w:color w:val="auto"/>
                <w:sz w:val="20"/>
                <w:highlight w:val="none"/>
              </w:rPr>
              <w:t>考核方式</w:t>
            </w:r>
          </w:p>
        </w:tc>
        <w:tc>
          <w:tcPr>
            <w:tcW w:w="1843" w:type="dxa"/>
            <w:shd w:val="clear" w:color="auto" w:fill="FFFFFF"/>
            <w:vAlign w:val="center"/>
          </w:tcPr>
          <w:p w14:paraId="12D5BE08">
            <w:pPr>
              <w:pStyle w:val="15"/>
              <w:ind w:left="559"/>
              <w:jc w:val="center"/>
              <w:rPr>
                <w:rFonts w:eastAsia="仿宋"/>
                <w:b/>
                <w:color w:val="auto"/>
                <w:sz w:val="20"/>
                <w:highlight w:val="none"/>
              </w:rPr>
            </w:pPr>
            <w:r>
              <w:rPr>
                <w:rFonts w:eastAsia="仿宋"/>
                <w:b/>
                <w:color w:val="auto"/>
                <w:sz w:val="20"/>
                <w:highlight w:val="none"/>
              </w:rPr>
              <w:t>负责人</w:t>
            </w:r>
          </w:p>
        </w:tc>
      </w:tr>
      <w:tr w14:paraId="7B749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500" w:hRule="atLeast"/>
          <w:jc w:val="center"/>
        </w:trPr>
        <w:tc>
          <w:tcPr>
            <w:tcW w:w="1560" w:type="dxa"/>
            <w:shd w:val="clear" w:color="auto" w:fill="FFFFFF"/>
            <w:vAlign w:val="center"/>
          </w:tcPr>
          <w:p w14:paraId="76B9A9ED">
            <w:pPr>
              <w:pStyle w:val="15"/>
              <w:ind w:left="107"/>
              <w:jc w:val="center"/>
              <w:rPr>
                <w:rFonts w:eastAsia="仿宋"/>
                <w:color w:val="auto"/>
                <w:sz w:val="20"/>
                <w:highlight w:val="none"/>
                <w:lang w:val="en-US"/>
              </w:rPr>
            </w:pPr>
            <w:r>
              <w:rPr>
                <w:rFonts w:eastAsia="仿宋"/>
                <w:color w:val="auto"/>
                <w:sz w:val="20"/>
                <w:highlight w:val="none"/>
                <w:lang w:val="en-US"/>
              </w:rPr>
              <w:t>第 1-4 学期</w:t>
            </w:r>
          </w:p>
        </w:tc>
        <w:tc>
          <w:tcPr>
            <w:tcW w:w="1852" w:type="dxa"/>
            <w:shd w:val="clear" w:color="auto" w:fill="FFFFFF"/>
            <w:vAlign w:val="center"/>
          </w:tcPr>
          <w:p w14:paraId="6CF6CA98">
            <w:pPr>
              <w:pStyle w:val="15"/>
              <w:ind w:left="107"/>
              <w:jc w:val="center"/>
              <w:rPr>
                <w:rFonts w:eastAsia="仿宋"/>
                <w:color w:val="auto"/>
                <w:sz w:val="20"/>
                <w:highlight w:val="none"/>
                <w:lang w:val="en-US"/>
              </w:rPr>
            </w:pPr>
            <w:r>
              <w:rPr>
                <w:rFonts w:eastAsia="仿宋"/>
                <w:color w:val="auto"/>
                <w:sz w:val="20"/>
                <w:highlight w:val="none"/>
                <w:lang w:val="en-US"/>
              </w:rPr>
              <w:t>专业课程学习</w:t>
            </w:r>
          </w:p>
        </w:tc>
        <w:tc>
          <w:tcPr>
            <w:tcW w:w="3959" w:type="dxa"/>
            <w:shd w:val="clear" w:color="auto" w:fill="FFFFFF"/>
            <w:vAlign w:val="center"/>
          </w:tcPr>
          <w:p w14:paraId="51F467FC">
            <w:pPr>
              <w:pStyle w:val="15"/>
              <w:ind w:left="107"/>
              <w:jc w:val="center"/>
              <w:rPr>
                <w:rFonts w:eastAsia="仿宋"/>
                <w:color w:val="auto"/>
                <w:sz w:val="20"/>
                <w:highlight w:val="none"/>
                <w:lang w:val="en-US"/>
              </w:rPr>
            </w:pPr>
            <w:r>
              <w:rPr>
                <w:rFonts w:eastAsia="仿宋"/>
                <w:color w:val="auto"/>
                <w:sz w:val="20"/>
                <w:highlight w:val="none"/>
                <w:lang w:val="en-US"/>
              </w:rPr>
              <w:t>考试或考查（提交课程报告）</w:t>
            </w:r>
          </w:p>
        </w:tc>
        <w:tc>
          <w:tcPr>
            <w:tcW w:w="1843" w:type="dxa"/>
            <w:shd w:val="clear" w:color="auto" w:fill="FFFFFF"/>
            <w:vAlign w:val="center"/>
          </w:tcPr>
          <w:p w14:paraId="311B179D">
            <w:pPr>
              <w:pStyle w:val="15"/>
              <w:ind w:left="107"/>
              <w:jc w:val="center"/>
              <w:rPr>
                <w:rFonts w:eastAsia="仿宋"/>
                <w:color w:val="auto"/>
                <w:sz w:val="20"/>
                <w:highlight w:val="none"/>
                <w:lang w:val="en-US"/>
              </w:rPr>
            </w:pPr>
            <w:r>
              <w:rPr>
                <w:rFonts w:eastAsia="仿宋"/>
                <w:color w:val="auto"/>
                <w:sz w:val="20"/>
                <w:highlight w:val="none"/>
                <w:lang w:val="en-US"/>
              </w:rPr>
              <w:t>各任课教师</w:t>
            </w:r>
          </w:p>
        </w:tc>
      </w:tr>
      <w:tr w14:paraId="1E71E3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1560" w:type="dxa"/>
            <w:shd w:val="clear" w:color="auto" w:fill="FFFFFF"/>
            <w:vAlign w:val="center"/>
          </w:tcPr>
          <w:p w14:paraId="2A8B5903">
            <w:pPr>
              <w:pStyle w:val="15"/>
              <w:ind w:left="107"/>
              <w:jc w:val="center"/>
              <w:rPr>
                <w:rFonts w:eastAsia="仿宋"/>
                <w:color w:val="auto"/>
                <w:sz w:val="20"/>
                <w:highlight w:val="none"/>
                <w:lang w:val="en-US"/>
              </w:rPr>
            </w:pPr>
            <w:r>
              <w:rPr>
                <w:rFonts w:eastAsia="仿宋"/>
                <w:color w:val="auto"/>
                <w:sz w:val="20"/>
                <w:highlight w:val="none"/>
                <w:lang w:val="en-US"/>
              </w:rPr>
              <w:t>第 1-2 学期</w:t>
            </w:r>
          </w:p>
        </w:tc>
        <w:tc>
          <w:tcPr>
            <w:tcW w:w="1852" w:type="dxa"/>
            <w:shd w:val="clear" w:color="auto" w:fill="FFFFFF"/>
            <w:vAlign w:val="center"/>
          </w:tcPr>
          <w:p w14:paraId="687F6582">
            <w:pPr>
              <w:pStyle w:val="15"/>
              <w:ind w:left="107"/>
              <w:jc w:val="center"/>
              <w:rPr>
                <w:rFonts w:eastAsia="仿宋"/>
                <w:color w:val="auto"/>
                <w:sz w:val="20"/>
                <w:highlight w:val="none"/>
                <w:lang w:val="en-US"/>
              </w:rPr>
            </w:pPr>
            <w:r>
              <w:rPr>
                <w:rFonts w:eastAsia="仿宋"/>
                <w:color w:val="auto"/>
                <w:sz w:val="20"/>
                <w:highlight w:val="none"/>
                <w:lang w:val="en-US"/>
              </w:rPr>
              <w:t>直博考察期</w:t>
            </w:r>
          </w:p>
        </w:tc>
        <w:tc>
          <w:tcPr>
            <w:tcW w:w="3959" w:type="dxa"/>
            <w:shd w:val="clear" w:color="auto" w:fill="FFFFFF"/>
            <w:vAlign w:val="center"/>
          </w:tcPr>
          <w:p w14:paraId="33090E36">
            <w:pPr>
              <w:pStyle w:val="15"/>
              <w:ind w:left="107"/>
              <w:jc w:val="center"/>
              <w:rPr>
                <w:rFonts w:eastAsia="仿宋"/>
                <w:color w:val="auto"/>
                <w:sz w:val="20"/>
                <w:highlight w:val="none"/>
                <w:lang w:val="en-US"/>
              </w:rPr>
            </w:pPr>
            <w:r>
              <w:rPr>
                <w:rFonts w:eastAsia="仿宋"/>
                <w:color w:val="auto"/>
                <w:sz w:val="20"/>
                <w:highlight w:val="none"/>
                <w:lang w:val="en-US"/>
              </w:rPr>
              <w:t>对研究生的素质、能力进行全面考察</w:t>
            </w:r>
          </w:p>
        </w:tc>
        <w:tc>
          <w:tcPr>
            <w:tcW w:w="1843" w:type="dxa"/>
            <w:shd w:val="clear" w:color="auto" w:fill="FFFFFF"/>
            <w:vAlign w:val="center"/>
          </w:tcPr>
          <w:p w14:paraId="09ACA0DB">
            <w:pPr>
              <w:pStyle w:val="15"/>
              <w:ind w:left="107"/>
              <w:jc w:val="center"/>
              <w:rPr>
                <w:rFonts w:eastAsia="仿宋"/>
                <w:color w:val="auto"/>
                <w:sz w:val="20"/>
                <w:highlight w:val="none"/>
                <w:lang w:val="en-US"/>
              </w:rPr>
            </w:pPr>
            <w:r>
              <w:rPr>
                <w:rFonts w:eastAsia="仿宋"/>
                <w:color w:val="auto"/>
                <w:sz w:val="20"/>
                <w:highlight w:val="none"/>
                <w:lang w:val="en-US"/>
              </w:rPr>
              <w:t>导师</w:t>
            </w:r>
          </w:p>
        </w:tc>
      </w:tr>
      <w:tr w14:paraId="55841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500" w:hRule="atLeast"/>
          <w:jc w:val="center"/>
        </w:trPr>
        <w:tc>
          <w:tcPr>
            <w:tcW w:w="1560" w:type="dxa"/>
            <w:shd w:val="clear" w:color="auto" w:fill="FFFFFF"/>
            <w:vAlign w:val="center"/>
          </w:tcPr>
          <w:p w14:paraId="6F26DBC6">
            <w:pPr>
              <w:pStyle w:val="15"/>
              <w:ind w:left="107"/>
              <w:jc w:val="center"/>
              <w:rPr>
                <w:rFonts w:eastAsia="仿宋"/>
                <w:color w:val="auto"/>
                <w:sz w:val="20"/>
                <w:highlight w:val="none"/>
                <w:lang w:val="en-US"/>
              </w:rPr>
            </w:pPr>
            <w:r>
              <w:rPr>
                <w:rFonts w:eastAsia="仿宋"/>
                <w:color w:val="auto"/>
                <w:sz w:val="20"/>
                <w:highlight w:val="none"/>
                <w:lang w:val="en-US"/>
              </w:rPr>
              <w:t>第 5 学期</w:t>
            </w:r>
          </w:p>
        </w:tc>
        <w:tc>
          <w:tcPr>
            <w:tcW w:w="1852" w:type="dxa"/>
            <w:shd w:val="clear" w:color="auto" w:fill="FFFFFF"/>
            <w:vAlign w:val="center"/>
          </w:tcPr>
          <w:p w14:paraId="4297D8A0">
            <w:pPr>
              <w:pStyle w:val="15"/>
              <w:ind w:left="107"/>
              <w:jc w:val="center"/>
              <w:rPr>
                <w:rFonts w:eastAsia="仿宋"/>
                <w:color w:val="auto"/>
                <w:sz w:val="20"/>
                <w:highlight w:val="none"/>
                <w:lang w:val="en-US"/>
              </w:rPr>
            </w:pPr>
            <w:r>
              <w:rPr>
                <w:rFonts w:hint="eastAsia" w:eastAsia="仿宋"/>
                <w:color w:val="auto"/>
                <w:sz w:val="20"/>
                <w:highlight w:val="none"/>
                <w:lang w:val="en-US"/>
              </w:rPr>
              <w:t>开题报告</w:t>
            </w:r>
          </w:p>
        </w:tc>
        <w:tc>
          <w:tcPr>
            <w:tcW w:w="3959" w:type="dxa"/>
            <w:shd w:val="clear" w:color="auto" w:fill="FFFFFF"/>
            <w:vAlign w:val="center"/>
          </w:tcPr>
          <w:p w14:paraId="2A8A35A0">
            <w:pPr>
              <w:pStyle w:val="15"/>
              <w:ind w:left="107"/>
              <w:jc w:val="center"/>
              <w:rPr>
                <w:rFonts w:eastAsia="仿宋"/>
                <w:color w:val="auto"/>
                <w:sz w:val="20"/>
                <w:highlight w:val="none"/>
                <w:lang w:val="en-US"/>
              </w:rPr>
            </w:pPr>
            <w:r>
              <w:rPr>
                <w:rFonts w:hint="eastAsia" w:eastAsia="仿宋"/>
                <w:color w:val="auto"/>
                <w:sz w:val="20"/>
                <w:highlight w:val="none"/>
                <w:lang w:val="en-US"/>
              </w:rPr>
              <w:t>公开答辩</w:t>
            </w:r>
          </w:p>
        </w:tc>
        <w:tc>
          <w:tcPr>
            <w:tcW w:w="1843" w:type="dxa"/>
            <w:shd w:val="clear" w:color="auto" w:fill="FFFFFF"/>
            <w:vAlign w:val="center"/>
          </w:tcPr>
          <w:p w14:paraId="1AD96971">
            <w:pPr>
              <w:pStyle w:val="15"/>
              <w:ind w:left="107"/>
              <w:jc w:val="center"/>
              <w:rPr>
                <w:rFonts w:eastAsia="仿宋"/>
                <w:color w:val="auto"/>
                <w:sz w:val="20"/>
                <w:highlight w:val="none"/>
                <w:lang w:val="en-US"/>
              </w:rPr>
            </w:pPr>
            <w:r>
              <w:rPr>
                <w:rFonts w:hint="eastAsia" w:eastAsia="仿宋"/>
                <w:color w:val="auto"/>
                <w:sz w:val="20"/>
                <w:highlight w:val="none"/>
                <w:lang w:val="en-US"/>
              </w:rPr>
              <w:t>党委审查小组</w:t>
            </w:r>
          </w:p>
        </w:tc>
      </w:tr>
      <w:tr w14:paraId="675649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1560" w:type="dxa"/>
            <w:shd w:val="clear" w:color="auto" w:fill="FFFFFF"/>
            <w:vAlign w:val="center"/>
          </w:tcPr>
          <w:p w14:paraId="639E2D70">
            <w:pPr>
              <w:pStyle w:val="15"/>
              <w:ind w:left="107"/>
              <w:jc w:val="center"/>
              <w:rPr>
                <w:rFonts w:eastAsia="仿宋"/>
                <w:color w:val="auto"/>
                <w:sz w:val="20"/>
                <w:highlight w:val="none"/>
                <w:lang w:val="en-US"/>
              </w:rPr>
            </w:pPr>
            <w:r>
              <w:rPr>
                <w:rFonts w:eastAsia="仿宋"/>
                <w:color w:val="auto"/>
                <w:sz w:val="20"/>
                <w:highlight w:val="none"/>
                <w:lang w:val="en-US"/>
              </w:rPr>
              <w:t xml:space="preserve">第 </w:t>
            </w:r>
            <w:r>
              <w:rPr>
                <w:rFonts w:hint="eastAsia" w:eastAsia="仿宋"/>
                <w:color w:val="auto"/>
                <w:sz w:val="20"/>
                <w:highlight w:val="none"/>
                <w:lang w:val="en-US"/>
              </w:rPr>
              <w:t>6</w:t>
            </w:r>
            <w:r>
              <w:rPr>
                <w:rFonts w:eastAsia="仿宋"/>
                <w:color w:val="auto"/>
                <w:sz w:val="20"/>
                <w:highlight w:val="none"/>
                <w:lang w:val="en-US"/>
              </w:rPr>
              <w:t xml:space="preserve"> 学期</w:t>
            </w:r>
          </w:p>
        </w:tc>
        <w:tc>
          <w:tcPr>
            <w:tcW w:w="1852" w:type="dxa"/>
            <w:shd w:val="clear" w:color="auto" w:fill="FFFFFF"/>
            <w:vAlign w:val="center"/>
          </w:tcPr>
          <w:p w14:paraId="7FB34651">
            <w:pPr>
              <w:pStyle w:val="15"/>
              <w:ind w:left="107"/>
              <w:jc w:val="center"/>
              <w:rPr>
                <w:rFonts w:eastAsia="仿宋"/>
                <w:color w:val="auto"/>
                <w:sz w:val="20"/>
                <w:highlight w:val="none"/>
                <w:lang w:val="en-US"/>
              </w:rPr>
            </w:pPr>
            <w:r>
              <w:rPr>
                <w:rFonts w:hint="eastAsia" w:eastAsia="仿宋"/>
                <w:color w:val="auto"/>
                <w:sz w:val="20"/>
                <w:highlight w:val="none"/>
                <w:lang w:val="en-US"/>
              </w:rPr>
              <w:t>中期考核</w:t>
            </w:r>
          </w:p>
        </w:tc>
        <w:tc>
          <w:tcPr>
            <w:tcW w:w="3959" w:type="dxa"/>
            <w:shd w:val="clear" w:color="auto" w:fill="FFFFFF"/>
            <w:vAlign w:val="center"/>
          </w:tcPr>
          <w:p w14:paraId="61E8E06E">
            <w:pPr>
              <w:pStyle w:val="15"/>
              <w:ind w:left="107"/>
              <w:jc w:val="center"/>
              <w:rPr>
                <w:rFonts w:eastAsia="仿宋"/>
                <w:color w:val="auto"/>
                <w:sz w:val="20"/>
                <w:highlight w:val="none"/>
                <w:lang w:val="en-US"/>
              </w:rPr>
            </w:pPr>
            <w:r>
              <w:rPr>
                <w:rFonts w:hint="eastAsia" w:eastAsia="仿宋"/>
                <w:color w:val="auto"/>
                <w:sz w:val="20"/>
                <w:highlight w:val="none"/>
                <w:lang w:val="en-US"/>
              </w:rPr>
              <w:t>公开答辩</w:t>
            </w:r>
          </w:p>
        </w:tc>
        <w:tc>
          <w:tcPr>
            <w:tcW w:w="1843" w:type="dxa"/>
            <w:shd w:val="clear" w:color="auto" w:fill="FFFFFF"/>
            <w:vAlign w:val="center"/>
          </w:tcPr>
          <w:p w14:paraId="5E04E554">
            <w:pPr>
              <w:pStyle w:val="15"/>
              <w:ind w:left="107"/>
              <w:jc w:val="center"/>
              <w:rPr>
                <w:rFonts w:eastAsia="仿宋"/>
                <w:color w:val="auto"/>
                <w:sz w:val="20"/>
                <w:highlight w:val="none"/>
                <w:lang w:val="en-US"/>
              </w:rPr>
            </w:pPr>
            <w:r>
              <w:rPr>
                <w:rFonts w:hint="eastAsia" w:eastAsia="仿宋"/>
                <w:color w:val="auto"/>
                <w:sz w:val="20"/>
                <w:highlight w:val="none"/>
                <w:lang w:val="en-US"/>
              </w:rPr>
              <w:t>中期考核工作</w:t>
            </w:r>
          </w:p>
          <w:p w14:paraId="2BC73106">
            <w:pPr>
              <w:pStyle w:val="15"/>
              <w:ind w:left="107"/>
              <w:jc w:val="center"/>
              <w:rPr>
                <w:rFonts w:eastAsia="仿宋"/>
                <w:color w:val="auto"/>
                <w:sz w:val="20"/>
                <w:highlight w:val="none"/>
                <w:lang w:val="en-US"/>
              </w:rPr>
            </w:pPr>
            <w:r>
              <w:rPr>
                <w:rFonts w:hint="eastAsia" w:eastAsia="仿宋"/>
                <w:color w:val="auto"/>
                <w:sz w:val="20"/>
                <w:highlight w:val="none"/>
                <w:lang w:val="en-US"/>
              </w:rPr>
              <w:t>领导小组</w:t>
            </w:r>
          </w:p>
        </w:tc>
      </w:tr>
      <w:tr w14:paraId="5B3BAA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500" w:hRule="atLeast"/>
          <w:jc w:val="center"/>
        </w:trPr>
        <w:tc>
          <w:tcPr>
            <w:tcW w:w="1560" w:type="dxa"/>
            <w:shd w:val="clear" w:color="auto" w:fill="FFFFFF"/>
            <w:vAlign w:val="center"/>
          </w:tcPr>
          <w:p w14:paraId="0AF0CF59">
            <w:pPr>
              <w:pStyle w:val="15"/>
              <w:ind w:left="107"/>
              <w:jc w:val="center"/>
              <w:rPr>
                <w:rFonts w:eastAsia="仿宋"/>
                <w:color w:val="auto"/>
                <w:sz w:val="20"/>
                <w:highlight w:val="none"/>
                <w:lang w:val="en-US"/>
              </w:rPr>
            </w:pPr>
            <w:r>
              <w:rPr>
                <w:rFonts w:eastAsia="仿宋"/>
                <w:color w:val="auto"/>
                <w:sz w:val="20"/>
                <w:highlight w:val="none"/>
                <w:lang w:val="en-US"/>
              </w:rPr>
              <w:t>第 10 学期</w:t>
            </w:r>
          </w:p>
        </w:tc>
        <w:tc>
          <w:tcPr>
            <w:tcW w:w="1852" w:type="dxa"/>
            <w:shd w:val="clear" w:color="auto" w:fill="FFFFFF"/>
            <w:vAlign w:val="center"/>
          </w:tcPr>
          <w:p w14:paraId="693F44E2">
            <w:pPr>
              <w:pStyle w:val="15"/>
              <w:ind w:left="107"/>
              <w:jc w:val="center"/>
              <w:rPr>
                <w:rFonts w:eastAsia="仿宋"/>
                <w:color w:val="auto"/>
                <w:sz w:val="20"/>
                <w:highlight w:val="none"/>
                <w:lang w:val="en-US"/>
              </w:rPr>
            </w:pPr>
            <w:r>
              <w:rPr>
                <w:rFonts w:eastAsia="仿宋"/>
                <w:color w:val="auto"/>
                <w:sz w:val="20"/>
                <w:highlight w:val="none"/>
                <w:lang w:val="en-US"/>
              </w:rPr>
              <w:t>论文工作检查</w:t>
            </w:r>
          </w:p>
        </w:tc>
        <w:tc>
          <w:tcPr>
            <w:tcW w:w="3959" w:type="dxa"/>
            <w:shd w:val="clear" w:color="auto" w:fill="FFFFFF"/>
            <w:vAlign w:val="center"/>
          </w:tcPr>
          <w:p w14:paraId="10CE0802">
            <w:pPr>
              <w:pStyle w:val="15"/>
              <w:ind w:left="107"/>
              <w:jc w:val="center"/>
              <w:rPr>
                <w:rFonts w:eastAsia="仿宋"/>
                <w:color w:val="auto"/>
                <w:sz w:val="20"/>
                <w:highlight w:val="none"/>
                <w:lang w:val="en-US"/>
              </w:rPr>
            </w:pPr>
            <w:r>
              <w:rPr>
                <w:rFonts w:eastAsia="仿宋"/>
                <w:color w:val="auto"/>
                <w:sz w:val="20"/>
                <w:highlight w:val="none"/>
                <w:lang w:val="en-US"/>
              </w:rPr>
              <w:t>提交论文初稿及成果清单</w:t>
            </w:r>
          </w:p>
        </w:tc>
        <w:tc>
          <w:tcPr>
            <w:tcW w:w="1843" w:type="dxa"/>
            <w:shd w:val="clear" w:color="auto" w:fill="FFFFFF"/>
            <w:vAlign w:val="center"/>
          </w:tcPr>
          <w:p w14:paraId="0BF2A76A">
            <w:pPr>
              <w:pStyle w:val="15"/>
              <w:ind w:left="107"/>
              <w:jc w:val="center"/>
              <w:rPr>
                <w:rFonts w:eastAsia="仿宋"/>
                <w:color w:val="auto"/>
                <w:sz w:val="20"/>
                <w:highlight w:val="none"/>
                <w:lang w:val="en-US"/>
              </w:rPr>
            </w:pPr>
            <w:r>
              <w:rPr>
                <w:rFonts w:hint="eastAsia" w:eastAsia="仿宋"/>
                <w:color w:val="auto"/>
                <w:sz w:val="20"/>
                <w:highlight w:val="none"/>
                <w:lang w:val="en-US"/>
              </w:rPr>
              <w:t>专委会</w:t>
            </w:r>
          </w:p>
        </w:tc>
      </w:tr>
      <w:tr w14:paraId="48578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500" w:hRule="atLeast"/>
          <w:jc w:val="center"/>
        </w:trPr>
        <w:tc>
          <w:tcPr>
            <w:tcW w:w="1560" w:type="dxa"/>
            <w:shd w:val="clear" w:color="auto" w:fill="FFFFFF"/>
            <w:vAlign w:val="center"/>
          </w:tcPr>
          <w:p w14:paraId="061D0A1A">
            <w:pPr>
              <w:pStyle w:val="15"/>
              <w:ind w:left="107"/>
              <w:jc w:val="center"/>
              <w:rPr>
                <w:rFonts w:eastAsia="仿宋"/>
                <w:color w:val="auto"/>
                <w:sz w:val="20"/>
                <w:highlight w:val="none"/>
                <w:lang w:val="en-US"/>
              </w:rPr>
            </w:pPr>
            <w:r>
              <w:rPr>
                <w:rFonts w:eastAsia="仿宋"/>
                <w:color w:val="auto"/>
                <w:sz w:val="20"/>
                <w:highlight w:val="none"/>
                <w:lang w:val="en-US"/>
              </w:rPr>
              <w:t>第 10 学期</w:t>
            </w:r>
          </w:p>
        </w:tc>
        <w:tc>
          <w:tcPr>
            <w:tcW w:w="1852" w:type="dxa"/>
            <w:shd w:val="clear" w:color="auto" w:fill="FFFFFF"/>
            <w:vAlign w:val="center"/>
          </w:tcPr>
          <w:p w14:paraId="091390D9">
            <w:pPr>
              <w:pStyle w:val="15"/>
              <w:ind w:left="107"/>
              <w:jc w:val="center"/>
              <w:rPr>
                <w:rFonts w:eastAsia="仿宋"/>
                <w:color w:val="auto"/>
                <w:sz w:val="20"/>
                <w:highlight w:val="none"/>
                <w:lang w:val="en-US"/>
              </w:rPr>
            </w:pPr>
            <w:r>
              <w:rPr>
                <w:rFonts w:eastAsia="仿宋"/>
                <w:color w:val="auto"/>
                <w:sz w:val="20"/>
                <w:highlight w:val="none"/>
                <w:lang w:val="en-US"/>
              </w:rPr>
              <w:t>预答辩</w:t>
            </w:r>
          </w:p>
        </w:tc>
        <w:tc>
          <w:tcPr>
            <w:tcW w:w="3959" w:type="dxa"/>
            <w:shd w:val="clear" w:color="auto" w:fill="FFFFFF"/>
            <w:vAlign w:val="center"/>
          </w:tcPr>
          <w:p w14:paraId="5ED699A1">
            <w:pPr>
              <w:pStyle w:val="15"/>
              <w:ind w:left="107"/>
              <w:jc w:val="center"/>
              <w:rPr>
                <w:rFonts w:eastAsia="仿宋"/>
                <w:color w:val="auto"/>
                <w:sz w:val="20"/>
                <w:highlight w:val="none"/>
                <w:lang w:val="en-US"/>
              </w:rPr>
            </w:pPr>
            <w:r>
              <w:rPr>
                <w:rFonts w:eastAsia="仿宋"/>
                <w:color w:val="auto"/>
                <w:sz w:val="20"/>
                <w:highlight w:val="none"/>
                <w:lang w:val="en-US"/>
              </w:rPr>
              <w:t>进行预答辩</w:t>
            </w:r>
          </w:p>
        </w:tc>
        <w:tc>
          <w:tcPr>
            <w:tcW w:w="1843" w:type="dxa"/>
            <w:shd w:val="clear" w:color="auto" w:fill="FFFFFF"/>
            <w:vAlign w:val="center"/>
          </w:tcPr>
          <w:p w14:paraId="3E8B8EDF">
            <w:pPr>
              <w:pStyle w:val="15"/>
              <w:ind w:left="107"/>
              <w:jc w:val="center"/>
              <w:rPr>
                <w:rFonts w:eastAsia="仿宋"/>
                <w:color w:val="auto"/>
                <w:sz w:val="20"/>
                <w:highlight w:val="none"/>
                <w:lang w:val="en-US"/>
              </w:rPr>
            </w:pPr>
            <w:r>
              <w:rPr>
                <w:rFonts w:hint="eastAsia" w:eastAsia="仿宋"/>
                <w:color w:val="auto"/>
                <w:sz w:val="20"/>
                <w:highlight w:val="none"/>
                <w:lang w:val="en-US"/>
              </w:rPr>
              <w:t>导师</w:t>
            </w:r>
            <w:r>
              <w:rPr>
                <w:rFonts w:eastAsia="仿宋"/>
                <w:color w:val="auto"/>
                <w:sz w:val="20"/>
                <w:highlight w:val="none"/>
                <w:lang w:val="en-US"/>
              </w:rPr>
              <w:t>组</w:t>
            </w:r>
          </w:p>
        </w:tc>
      </w:tr>
      <w:tr w14:paraId="44CC6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jc w:val="center"/>
        </w:trPr>
        <w:tc>
          <w:tcPr>
            <w:tcW w:w="1560" w:type="dxa"/>
            <w:shd w:val="clear" w:color="auto" w:fill="FFFFFF"/>
            <w:vAlign w:val="center"/>
          </w:tcPr>
          <w:p w14:paraId="2A27D3DD">
            <w:pPr>
              <w:pStyle w:val="15"/>
              <w:ind w:left="107"/>
              <w:jc w:val="center"/>
              <w:rPr>
                <w:rFonts w:eastAsia="仿宋"/>
                <w:color w:val="auto"/>
                <w:sz w:val="20"/>
                <w:highlight w:val="none"/>
                <w:lang w:val="en-US"/>
              </w:rPr>
            </w:pPr>
            <w:r>
              <w:rPr>
                <w:rFonts w:eastAsia="仿宋"/>
                <w:color w:val="auto"/>
                <w:sz w:val="20"/>
                <w:highlight w:val="none"/>
                <w:lang w:val="en-US"/>
              </w:rPr>
              <w:t>第 10 学期</w:t>
            </w:r>
          </w:p>
        </w:tc>
        <w:tc>
          <w:tcPr>
            <w:tcW w:w="1852" w:type="dxa"/>
            <w:shd w:val="clear" w:color="auto" w:fill="FFFFFF"/>
            <w:vAlign w:val="center"/>
          </w:tcPr>
          <w:p w14:paraId="3A4E5AC1">
            <w:pPr>
              <w:pStyle w:val="15"/>
              <w:ind w:left="107"/>
              <w:jc w:val="center"/>
              <w:rPr>
                <w:rFonts w:eastAsia="仿宋"/>
                <w:color w:val="auto"/>
                <w:sz w:val="20"/>
                <w:highlight w:val="none"/>
                <w:lang w:val="en-US"/>
              </w:rPr>
            </w:pPr>
            <w:r>
              <w:rPr>
                <w:rFonts w:eastAsia="仿宋"/>
                <w:color w:val="auto"/>
                <w:sz w:val="20"/>
                <w:highlight w:val="none"/>
                <w:lang w:val="en-US"/>
              </w:rPr>
              <w:t>论文评审</w:t>
            </w:r>
          </w:p>
        </w:tc>
        <w:tc>
          <w:tcPr>
            <w:tcW w:w="3959" w:type="dxa"/>
            <w:shd w:val="clear" w:color="auto" w:fill="FFFFFF"/>
            <w:vAlign w:val="center"/>
          </w:tcPr>
          <w:p w14:paraId="2F31148E">
            <w:pPr>
              <w:pStyle w:val="15"/>
              <w:ind w:left="107"/>
              <w:jc w:val="center"/>
              <w:rPr>
                <w:rFonts w:eastAsia="仿宋"/>
                <w:color w:val="auto"/>
                <w:sz w:val="20"/>
                <w:highlight w:val="none"/>
                <w:lang w:val="en-US"/>
              </w:rPr>
            </w:pPr>
            <w:r>
              <w:rPr>
                <w:rFonts w:eastAsia="仿宋"/>
                <w:color w:val="auto"/>
                <w:sz w:val="20"/>
                <w:highlight w:val="none"/>
                <w:lang w:val="en-US"/>
              </w:rPr>
              <w:t>外送评审</w:t>
            </w:r>
          </w:p>
        </w:tc>
        <w:tc>
          <w:tcPr>
            <w:tcW w:w="1843" w:type="dxa"/>
            <w:shd w:val="clear" w:color="auto" w:fill="FFFFFF"/>
            <w:vAlign w:val="center"/>
          </w:tcPr>
          <w:p w14:paraId="008A85B3">
            <w:pPr>
              <w:pStyle w:val="15"/>
              <w:ind w:left="107"/>
              <w:jc w:val="center"/>
              <w:rPr>
                <w:rFonts w:eastAsia="仿宋"/>
                <w:color w:val="auto"/>
                <w:sz w:val="20"/>
                <w:highlight w:val="none"/>
                <w:lang w:val="en-US"/>
              </w:rPr>
            </w:pPr>
            <w:r>
              <w:rPr>
                <w:rFonts w:eastAsia="仿宋"/>
                <w:color w:val="auto"/>
                <w:sz w:val="20"/>
                <w:highlight w:val="none"/>
                <w:lang w:val="en-US"/>
              </w:rPr>
              <w:t>评审专家</w:t>
            </w:r>
          </w:p>
        </w:tc>
      </w:tr>
      <w:tr w14:paraId="618792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1560" w:type="dxa"/>
            <w:shd w:val="clear" w:color="auto" w:fill="FFFFFF"/>
            <w:vAlign w:val="center"/>
          </w:tcPr>
          <w:p w14:paraId="05CBB9FE">
            <w:pPr>
              <w:pStyle w:val="15"/>
              <w:ind w:left="107"/>
              <w:jc w:val="center"/>
              <w:rPr>
                <w:rFonts w:eastAsia="仿宋"/>
                <w:color w:val="auto"/>
                <w:sz w:val="20"/>
                <w:highlight w:val="none"/>
                <w:lang w:val="en-US"/>
              </w:rPr>
            </w:pPr>
            <w:r>
              <w:rPr>
                <w:rFonts w:eastAsia="仿宋"/>
                <w:color w:val="auto"/>
                <w:sz w:val="20"/>
                <w:highlight w:val="none"/>
                <w:lang w:val="en-US"/>
              </w:rPr>
              <w:t>第 10 学期</w:t>
            </w:r>
          </w:p>
        </w:tc>
        <w:tc>
          <w:tcPr>
            <w:tcW w:w="1852" w:type="dxa"/>
            <w:shd w:val="clear" w:color="auto" w:fill="FFFFFF"/>
            <w:vAlign w:val="center"/>
          </w:tcPr>
          <w:p w14:paraId="3F0D9C50">
            <w:pPr>
              <w:pStyle w:val="15"/>
              <w:ind w:left="107"/>
              <w:jc w:val="center"/>
              <w:rPr>
                <w:rFonts w:eastAsia="仿宋"/>
                <w:color w:val="auto"/>
                <w:sz w:val="20"/>
                <w:highlight w:val="none"/>
                <w:lang w:val="en-US"/>
              </w:rPr>
            </w:pPr>
            <w:r>
              <w:rPr>
                <w:rFonts w:eastAsia="仿宋"/>
                <w:color w:val="auto"/>
                <w:sz w:val="20"/>
                <w:highlight w:val="none"/>
                <w:lang w:val="en-US"/>
              </w:rPr>
              <w:t>答辩</w:t>
            </w:r>
          </w:p>
        </w:tc>
        <w:tc>
          <w:tcPr>
            <w:tcW w:w="3959" w:type="dxa"/>
            <w:shd w:val="clear" w:color="auto" w:fill="FFFFFF"/>
            <w:vAlign w:val="center"/>
          </w:tcPr>
          <w:p w14:paraId="0FF00B8E">
            <w:pPr>
              <w:pStyle w:val="15"/>
              <w:ind w:left="107"/>
              <w:jc w:val="center"/>
              <w:rPr>
                <w:rFonts w:eastAsia="仿宋"/>
                <w:color w:val="auto"/>
                <w:sz w:val="20"/>
                <w:highlight w:val="none"/>
                <w:lang w:val="en-US"/>
              </w:rPr>
            </w:pPr>
            <w:r>
              <w:rPr>
                <w:rFonts w:hint="eastAsia" w:eastAsia="仿宋"/>
                <w:color w:val="auto"/>
                <w:sz w:val="20"/>
                <w:highlight w:val="none"/>
                <w:lang w:val="en-US"/>
              </w:rPr>
              <w:t>公开</w:t>
            </w:r>
            <w:r>
              <w:rPr>
                <w:rFonts w:eastAsia="仿宋"/>
                <w:color w:val="auto"/>
                <w:sz w:val="20"/>
                <w:highlight w:val="none"/>
                <w:lang w:val="en-US"/>
              </w:rPr>
              <w:t>答辩</w:t>
            </w:r>
          </w:p>
        </w:tc>
        <w:tc>
          <w:tcPr>
            <w:tcW w:w="1843" w:type="dxa"/>
            <w:shd w:val="clear" w:color="auto" w:fill="FFFFFF"/>
            <w:vAlign w:val="center"/>
          </w:tcPr>
          <w:p w14:paraId="1959F3D5">
            <w:pPr>
              <w:pStyle w:val="15"/>
              <w:ind w:left="107"/>
              <w:jc w:val="center"/>
              <w:rPr>
                <w:rFonts w:eastAsia="仿宋"/>
                <w:color w:val="auto"/>
                <w:sz w:val="20"/>
                <w:highlight w:val="none"/>
                <w:lang w:val="en-US"/>
              </w:rPr>
            </w:pPr>
            <w:r>
              <w:rPr>
                <w:rFonts w:eastAsia="仿宋"/>
                <w:color w:val="auto"/>
                <w:sz w:val="20"/>
                <w:highlight w:val="none"/>
                <w:lang w:val="en-US"/>
              </w:rPr>
              <w:t>答辩委员会</w:t>
            </w:r>
          </w:p>
        </w:tc>
      </w:tr>
    </w:tbl>
    <w:p w14:paraId="25961BCE">
      <w:pPr>
        <w:pStyle w:val="15"/>
        <w:spacing w:before="116"/>
        <w:ind w:right="60"/>
        <w:jc w:val="left"/>
        <w:rPr>
          <w:rFonts w:hint="default" w:ascii="Times New Roman" w:hAnsi="Times New Roman" w:eastAsia="仿宋" w:cs="Times New Roman"/>
          <w:color w:val="auto"/>
          <w:sz w:val="21"/>
          <w:highlight w:val="none"/>
        </w:rPr>
      </w:pPr>
      <w:r>
        <w:rPr>
          <w:rFonts w:hint="default" w:ascii="Times New Roman" w:hAnsi="Times New Roman" w:eastAsia="仿宋" w:cs="Times New Roman"/>
          <w:color w:val="auto"/>
          <w:sz w:val="21"/>
          <w:highlight w:val="none"/>
          <w:lang w:val="en-US" w:eastAsia="zh-CN"/>
        </w:rPr>
        <w:t>注：</w:t>
      </w:r>
      <w:r>
        <w:rPr>
          <w:rFonts w:hint="default" w:ascii="Times New Roman" w:hAnsi="Times New Roman" w:eastAsia="仿宋" w:cs="Times New Roman"/>
          <w:color w:val="auto"/>
          <w:sz w:val="21"/>
          <w:highlight w:val="none"/>
        </w:rPr>
        <w:t>入学3个月内</w:t>
      </w:r>
      <w:r>
        <w:rPr>
          <w:rFonts w:hint="default" w:ascii="Times New Roman" w:hAnsi="Times New Roman" w:eastAsia="仿宋" w:cs="Times New Roman"/>
          <w:color w:val="auto"/>
          <w:sz w:val="21"/>
          <w:highlight w:val="none"/>
          <w:lang w:eastAsia="zh-CN"/>
        </w:rPr>
        <w:t>，</w:t>
      </w:r>
      <w:r>
        <w:rPr>
          <w:rFonts w:hint="default" w:ascii="Times New Roman" w:hAnsi="Times New Roman" w:eastAsia="仿宋" w:cs="Times New Roman"/>
          <w:color w:val="auto"/>
          <w:sz w:val="21"/>
          <w:highlight w:val="none"/>
        </w:rPr>
        <w:t>由导师和研究生共同制定个人</w:t>
      </w:r>
      <w:r>
        <w:rPr>
          <w:rFonts w:hint="default" w:ascii="Times New Roman" w:hAnsi="Times New Roman" w:eastAsia="仿宋" w:cs="Times New Roman"/>
          <w:color w:val="auto"/>
          <w:sz w:val="21"/>
          <w:highlight w:val="none"/>
          <w:lang w:val="en-US" w:eastAsia="zh-CN"/>
        </w:rPr>
        <w:t>培养</w:t>
      </w:r>
      <w:r>
        <w:rPr>
          <w:rFonts w:hint="default" w:ascii="Times New Roman" w:hAnsi="Times New Roman" w:eastAsia="仿宋" w:cs="Times New Roman"/>
          <w:color w:val="auto"/>
          <w:sz w:val="21"/>
          <w:highlight w:val="none"/>
        </w:rPr>
        <w:t>培养计划</w:t>
      </w:r>
      <w:r>
        <w:rPr>
          <w:rFonts w:hint="default" w:ascii="Times New Roman" w:hAnsi="Times New Roman" w:eastAsia="仿宋" w:cs="Times New Roman"/>
          <w:color w:val="auto"/>
          <w:sz w:val="21"/>
          <w:highlight w:val="none"/>
          <w:lang w:eastAsia="zh-CN"/>
        </w:rPr>
        <w:t>。</w:t>
      </w:r>
      <w:r>
        <w:rPr>
          <w:rFonts w:hint="default" w:ascii="Times New Roman" w:hAnsi="Times New Roman" w:eastAsia="仿宋" w:cs="Times New Roman"/>
          <w:color w:val="auto"/>
          <w:sz w:val="21"/>
          <w:highlight w:val="none"/>
          <w:lang w:val="en-US" w:eastAsia="zh-CN"/>
        </w:rPr>
        <w:t>根据</w:t>
      </w:r>
      <w:r>
        <w:rPr>
          <w:rFonts w:hint="default" w:ascii="Times New Roman" w:hAnsi="Times New Roman" w:eastAsia="仿宋" w:cs="Times New Roman"/>
          <w:color w:val="auto"/>
          <w:sz w:val="21"/>
          <w:highlight w:val="none"/>
        </w:rPr>
        <w:t>培养方案</w:t>
      </w:r>
      <w:r>
        <w:rPr>
          <w:rFonts w:hint="default" w:ascii="Times New Roman" w:hAnsi="Times New Roman" w:eastAsia="仿宋" w:cs="Times New Roman"/>
          <w:color w:val="auto"/>
          <w:sz w:val="21"/>
          <w:highlight w:val="none"/>
          <w:lang w:val="en-US" w:eastAsia="zh-CN"/>
        </w:rPr>
        <w:t>要求</w:t>
      </w:r>
      <w:r>
        <w:rPr>
          <w:rFonts w:hint="default" w:ascii="Times New Roman" w:hAnsi="Times New Roman" w:eastAsia="仿宋" w:cs="Times New Roman"/>
          <w:color w:val="auto"/>
          <w:sz w:val="21"/>
          <w:highlight w:val="none"/>
        </w:rPr>
        <w:t>，综合学科发展动态和个人学术兴趣、知识结构、研究实践平台等情况（专项计划的学生还需结合专项要求），在导师的指导下对研究生培养过程作出的计划和安排。</w:t>
      </w:r>
    </w:p>
    <w:p w14:paraId="46873F88">
      <w:pPr>
        <w:adjustRightInd w:val="0"/>
        <w:snapToGrid w:val="0"/>
        <w:spacing w:line="540" w:lineRule="atLeast"/>
        <w:jc w:val="left"/>
        <w:rPr>
          <w:rFonts w:eastAsia="仿宋_GB2312"/>
          <w:color w:val="auto"/>
          <w:sz w:val="28"/>
          <w:szCs w:val="28"/>
          <w:highlight w:val="none"/>
        </w:rPr>
      </w:pPr>
    </w:p>
    <w:p w14:paraId="73DF3FAC">
      <w:pPr>
        <w:numPr>
          <w:ilvl w:val="0"/>
          <w:numId w:val="1"/>
        </w:numPr>
        <w:spacing w:line="500" w:lineRule="exact"/>
        <w:ind w:left="147"/>
        <w:rPr>
          <w:rFonts w:ascii="Times New Roman" w:hAnsi="Times New Roman" w:eastAsia="黑体" w:cs="Times New Roman"/>
          <w:bCs/>
          <w:color w:val="auto"/>
          <w:sz w:val="32"/>
          <w:szCs w:val="32"/>
          <w:highlight w:val="none"/>
        </w:rPr>
      </w:pPr>
      <w:r>
        <w:rPr>
          <w:rFonts w:ascii="Times New Roman" w:hAnsi="Times New Roman" w:eastAsia="黑体" w:cs="Times New Roman"/>
          <w:bCs/>
          <w:color w:val="auto"/>
          <w:sz w:val="32"/>
          <w:szCs w:val="32"/>
          <w:highlight w:val="none"/>
        </w:rPr>
        <w:t>学位论文</w:t>
      </w:r>
    </w:p>
    <w:p w14:paraId="3EEDB30F">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工程博士论文应与解决重大工程技术问题、实现企业技术进步和推动产业升级紧密结合，应具有技术或应用创新性。</w:t>
      </w:r>
    </w:p>
    <w:p w14:paraId="5833630D">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1. 论文形式</w:t>
      </w:r>
    </w:p>
    <w:p w14:paraId="1FA78844">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电子信息专业工程博士专业学位论文的研究内容可以是工程设计与研究、仪器设备研制、技术攻关研究等，类型可以多样化，既可以是系统完整的课题研究论文，也可以是大型工程项目为背景的技术论文。论文必须体现以下内容：</w:t>
      </w:r>
    </w:p>
    <w:p w14:paraId="6C89A2BD">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反映作者在工程实践项目中的实际贡献及创造性成果；</w:t>
      </w:r>
    </w:p>
    <w:p w14:paraId="2517C1C4">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反映作者已掌握了本领域基础理论及专业技术知识；</w:t>
      </w:r>
    </w:p>
    <w:p w14:paraId="0771C023">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反映作者具有本领域技术发展跟踪及创新研究能力和国际竞争力；</w:t>
      </w:r>
    </w:p>
    <w:p w14:paraId="476AA36F">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反映作者具有独立解决重大工程技术问题的能力。</w:t>
      </w:r>
    </w:p>
    <w:p w14:paraId="609048DC">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2. 论文选题</w:t>
      </w:r>
    </w:p>
    <w:p w14:paraId="3E09E91D">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电子信息专业学位博士论文应在导师的指导下，以实现国家需求为主要目的，与实现企业技术进步和推动产业升级紧密结合，应具有明确的工程技术背景与应用价值，并具有较大的技术难度和工作量，突出专业博士学位论文的创新性及解决领域难题的特色。</w:t>
      </w:r>
    </w:p>
    <w:p w14:paraId="732688B3">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3. 论文进展与考核</w:t>
      </w:r>
    </w:p>
    <w:p w14:paraId="051A11D1">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学位论文主要从工程难题解决方案的系统性、先进性、有效性等方面进行综合评估。在入学后的第七个学期初（10月中旬），对学位论文工作进展情况进行检查与考核。导师对研究生的论文工作进展情况、取得的阶段性成果、存在的问题、与预期目标的差距等进行检查考核，对综合能力较差、论文工作进展缓慢、投入时间和精力不足的研究生提出警告，或按学籍管理规定进行处理。</w:t>
      </w:r>
    </w:p>
    <w:p w14:paraId="71B0D553">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4. 学位论文水平要求</w:t>
      </w:r>
    </w:p>
    <w:p w14:paraId="4385765D">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学位论文必须反映从事应用研究成果的原创性和博士生进行独立科研的能力。有较高的技术难度、深度、先进性和工作量；表明作者具有综合运用科学理论、方法和技术手段解决工程问题及进行技术攻关的能力。论文必须提出解决工程问题的新思想、新方法，或开发出新工艺、新技术、新设备，具有较强的先进性和实用性。</w:t>
      </w:r>
    </w:p>
    <w:p w14:paraId="25F14B40">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5. 学位论文成果形式</w:t>
      </w:r>
    </w:p>
    <w:p w14:paraId="76855786">
      <w:pPr>
        <w:adjustRightInd w:val="0"/>
        <w:snapToGrid w:val="0"/>
        <w:spacing w:line="540" w:lineRule="atLeast"/>
        <w:ind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rPr>
        <w:t>按照《学位与研究生教育工作手册》、《中山大学博士硕士学位授予工作细则》等有关规定执行。</w:t>
      </w:r>
    </w:p>
    <w:p w14:paraId="3C696DF0">
      <w:pPr>
        <w:pStyle w:val="2"/>
      </w:pPr>
    </w:p>
    <w:p w14:paraId="2E341E9F">
      <w:pPr>
        <w:numPr>
          <w:ilvl w:val="0"/>
          <w:numId w:val="1"/>
        </w:numPr>
        <w:spacing w:line="500" w:lineRule="exact"/>
        <w:ind w:left="147"/>
        <w:rPr>
          <w:rFonts w:ascii="Times New Roman" w:hAnsi="Times New Roman" w:eastAsia="黑体" w:cs="Times New Roman"/>
          <w:bCs/>
          <w:color w:val="auto"/>
          <w:sz w:val="32"/>
          <w:szCs w:val="32"/>
          <w:highlight w:val="none"/>
        </w:rPr>
      </w:pPr>
      <w:r>
        <w:rPr>
          <w:rFonts w:ascii="Times New Roman" w:hAnsi="Times New Roman" w:eastAsia="黑体" w:cs="Times New Roman"/>
          <w:bCs/>
          <w:color w:val="auto"/>
          <w:sz w:val="32"/>
          <w:szCs w:val="32"/>
          <w:highlight w:val="none"/>
        </w:rPr>
        <w:t>论文评阅与答辩</w:t>
      </w:r>
    </w:p>
    <w:p w14:paraId="1135A7E0">
      <w:pPr>
        <w:adjustRightInd w:val="0"/>
        <w:snapToGrid w:val="0"/>
        <w:spacing w:line="540" w:lineRule="atLeast"/>
        <w:ind w:firstLine="560" w:firstLineChars="200"/>
        <w:jc w:val="left"/>
        <w:rPr>
          <w:rFonts w:eastAsia="仿宋_GB2312"/>
          <w:color w:val="auto"/>
          <w:sz w:val="28"/>
          <w:szCs w:val="28"/>
          <w:highlight w:val="none"/>
        </w:rPr>
      </w:pPr>
      <w:r>
        <w:rPr>
          <w:rFonts w:hint="eastAsia" w:eastAsia="仿宋_GB2312"/>
          <w:color w:val="auto"/>
          <w:sz w:val="28"/>
          <w:szCs w:val="28"/>
          <w:highlight w:val="none"/>
        </w:rPr>
        <w:t>电子信息工程博士专业学位研究生在完成培养计划，课程成绩合格，学术成果符合要求，学位论文经导师审核认可后，可提出学位论文答辩申请。学院审核通过，可安排学位论文送审。</w:t>
      </w:r>
    </w:p>
    <w:p w14:paraId="4E468BB7">
      <w:pPr>
        <w:adjustRightInd w:val="0"/>
        <w:snapToGrid w:val="0"/>
        <w:spacing w:line="540" w:lineRule="atLeast"/>
        <w:ind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rPr>
        <w:t>论文送审评阅书收齐后，符合要求才可进行答辩。根据《中山大学博士硕士学位授予工作细则》，博士研究生答辩委员会由5-7名委员组成，其中校外专家2-3人</w:t>
      </w:r>
      <w:r>
        <w:rPr>
          <w:rFonts w:hint="eastAsia" w:eastAsia="仿宋_GB2312"/>
          <w:color w:val="auto"/>
          <w:sz w:val="28"/>
          <w:szCs w:val="28"/>
          <w:highlight w:val="none"/>
          <w:lang w:eastAsia="zh-CN"/>
        </w:rPr>
        <w:t>（包括不少于2位行（企）业专家）</w:t>
      </w:r>
      <w:r>
        <w:rPr>
          <w:rFonts w:hint="eastAsia" w:eastAsia="仿宋_GB2312"/>
          <w:color w:val="auto"/>
          <w:sz w:val="28"/>
          <w:szCs w:val="28"/>
          <w:highlight w:val="none"/>
        </w:rPr>
        <w:t>，最多不超过3人，名单由导师提出，由学院审核后报研究生学位办公室审批。主席应由学术地位较高的答辩委员担任，博士学位论文答辩委员会主席应具有博士研究生导师资格。论文指导教师不能作为答辩委员会成员，但可参加答辩会，以备答辩委员会咨询，但在答辩委员会讨论和投票表决时应该回避。委员会根据答辩情况，就是否授予博士学位作出决议。决议采取不记名投票方式，经全体成员2/3以上同意，方能通过答辩。</w:t>
      </w:r>
    </w:p>
    <w:p w14:paraId="5C72AE17">
      <w:pPr>
        <w:pStyle w:val="2"/>
      </w:pPr>
    </w:p>
    <w:p w14:paraId="4E573E65">
      <w:pPr>
        <w:numPr>
          <w:ilvl w:val="0"/>
          <w:numId w:val="1"/>
        </w:numPr>
        <w:spacing w:line="500" w:lineRule="exact"/>
        <w:ind w:left="147"/>
        <w:rPr>
          <w:rFonts w:ascii="Times New Roman" w:hAnsi="Times New Roman" w:eastAsia="黑体" w:cs="Times New Roman"/>
          <w:bCs/>
          <w:color w:val="auto"/>
          <w:sz w:val="32"/>
          <w:szCs w:val="32"/>
          <w:highlight w:val="none"/>
        </w:rPr>
      </w:pPr>
      <w:r>
        <w:rPr>
          <w:rFonts w:ascii="Times New Roman" w:hAnsi="Times New Roman" w:eastAsia="黑体" w:cs="Times New Roman"/>
          <w:bCs/>
          <w:color w:val="auto"/>
          <w:sz w:val="32"/>
          <w:szCs w:val="32"/>
          <w:highlight w:val="none"/>
        </w:rPr>
        <w:t>学位授予</w:t>
      </w:r>
    </w:p>
    <w:p w14:paraId="61A4BA02">
      <w:pPr>
        <w:adjustRightInd w:val="0"/>
        <w:snapToGrid w:val="0"/>
        <w:spacing w:line="540" w:lineRule="atLeast"/>
        <w:ind w:firstLine="560" w:firstLineChars="200"/>
        <w:jc w:val="left"/>
        <w:rPr>
          <w:rFonts w:eastAsia="仿宋_GB2312"/>
          <w:color w:val="auto"/>
          <w:sz w:val="32"/>
          <w:szCs w:val="32"/>
          <w:highlight w:val="none"/>
        </w:rPr>
      </w:pPr>
      <w:r>
        <w:rPr>
          <w:rFonts w:hint="eastAsia" w:eastAsia="仿宋_GB2312"/>
          <w:color w:val="auto"/>
          <w:sz w:val="28"/>
          <w:szCs w:val="28"/>
          <w:highlight w:val="none"/>
        </w:rPr>
        <w:t>在规定的学习年限内完成博士培养计划，课程成绩合格并达到规定的学分要求，符合学校和</w:t>
      </w:r>
      <w:r>
        <w:rPr>
          <w:rFonts w:hint="eastAsia" w:eastAsia="仿宋_GB2312"/>
          <w:color w:val="auto"/>
          <w:sz w:val="28"/>
          <w:szCs w:val="28"/>
          <w:highlight w:val="none"/>
          <w:lang w:val="en-US" w:eastAsia="zh-CN"/>
        </w:rPr>
        <w:t>所在</w:t>
      </w:r>
      <w:r>
        <w:rPr>
          <w:rFonts w:hint="eastAsia" w:eastAsia="仿宋_GB2312"/>
          <w:color w:val="auto"/>
          <w:sz w:val="28"/>
          <w:szCs w:val="28"/>
          <w:highlight w:val="none"/>
        </w:rPr>
        <w:t>学院规定的学术成果要求，通过学位论文评审及答辩，可申请博士专业学位，具体按照《中山大学博士硕士学位授予工作细则》执行。</w:t>
      </w:r>
    </w:p>
    <w:p w14:paraId="2DEC7AAD">
      <w:pPr>
        <w:adjustRightInd w:val="0"/>
        <w:snapToGrid w:val="0"/>
        <w:spacing w:line="540" w:lineRule="atLeast"/>
        <w:rPr>
          <w:rFonts w:eastAsia="楷体"/>
          <w:b/>
          <w:color w:val="auto"/>
          <w:sz w:val="28"/>
          <w:szCs w:val="28"/>
          <w:highlight w:val="none"/>
        </w:rPr>
      </w:pPr>
    </w:p>
    <w:p w14:paraId="7D976A35">
      <w:pPr>
        <w:snapToGrid w:val="0"/>
        <w:spacing w:line="540" w:lineRule="atLeast"/>
        <w:ind w:firstLine="4270" w:firstLineChars="1525"/>
        <w:rPr>
          <w:rFonts w:eastAsia="楷体"/>
          <w:color w:val="auto"/>
          <w:sz w:val="28"/>
          <w:szCs w:val="28"/>
          <w:highlight w:val="none"/>
        </w:rPr>
      </w:pPr>
      <w:r>
        <w:rPr>
          <w:rFonts w:eastAsia="黑体"/>
          <w:bCs/>
          <w:color w:val="auto"/>
          <w:sz w:val="28"/>
          <w:szCs w:val="28"/>
          <w:highlight w:val="none"/>
        </w:rPr>
        <w:t>负责人</w:t>
      </w:r>
      <w:r>
        <w:rPr>
          <w:rFonts w:hint="eastAsia" w:eastAsia="黑体"/>
          <w:bCs/>
          <w:color w:val="auto"/>
          <w:sz w:val="28"/>
          <w:szCs w:val="28"/>
          <w:highlight w:val="none"/>
        </w:rPr>
        <w:t>：</w:t>
      </w:r>
    </w:p>
    <w:p w14:paraId="0B276515">
      <w:pPr>
        <w:spacing w:line="540" w:lineRule="atLeast"/>
        <w:jc w:val="right"/>
        <w:rPr>
          <w:rFonts w:eastAsia="等线"/>
          <w:color w:val="auto"/>
          <w:highlight w:val="none"/>
        </w:rPr>
      </w:pPr>
      <w:r>
        <w:rPr>
          <w:rFonts w:eastAsia="仿宋_GB2312"/>
          <w:color w:val="auto"/>
          <w:sz w:val="28"/>
          <w:szCs w:val="28"/>
          <w:highlight w:val="none"/>
        </w:rPr>
        <w:t>修订日期：</w:t>
      </w:r>
      <w:r>
        <w:rPr>
          <w:rFonts w:hint="eastAsia" w:eastAsia="仿宋_GB2312"/>
          <w:color w:val="auto"/>
          <w:sz w:val="28"/>
          <w:szCs w:val="28"/>
          <w:highlight w:val="none"/>
          <w:lang w:val="en-US" w:eastAsia="zh-CN"/>
        </w:rPr>
        <w:t xml:space="preserve">  </w:t>
      </w:r>
      <w:r>
        <w:rPr>
          <w:rFonts w:eastAsia="仿宋_GB2312"/>
          <w:color w:val="auto"/>
          <w:sz w:val="28"/>
          <w:szCs w:val="28"/>
          <w:highlight w:val="none"/>
        </w:rPr>
        <w:t xml:space="preserve">年 </w:t>
      </w:r>
      <w:r>
        <w:rPr>
          <w:rFonts w:hint="eastAsia" w:eastAsia="仿宋_GB2312"/>
          <w:color w:val="auto"/>
          <w:sz w:val="28"/>
          <w:szCs w:val="28"/>
          <w:highlight w:val="none"/>
          <w:lang w:val="en-US" w:eastAsia="zh-CN"/>
        </w:rPr>
        <w:t xml:space="preserve"> </w:t>
      </w:r>
      <w:r>
        <w:rPr>
          <w:rFonts w:eastAsia="仿宋_GB2312"/>
          <w:color w:val="auto"/>
          <w:sz w:val="28"/>
          <w:szCs w:val="28"/>
          <w:highlight w:val="none"/>
        </w:rPr>
        <w:t xml:space="preserve"> 月 </w:t>
      </w:r>
      <w:r>
        <w:rPr>
          <w:rFonts w:hint="eastAsia" w:eastAsia="仿宋_GB2312"/>
          <w:color w:val="auto"/>
          <w:sz w:val="28"/>
          <w:szCs w:val="28"/>
          <w:highlight w:val="none"/>
          <w:lang w:val="en-US" w:eastAsia="zh-CN"/>
        </w:rPr>
        <w:t xml:space="preserve"> </w:t>
      </w:r>
      <w:r>
        <w:rPr>
          <w:rFonts w:eastAsia="仿宋_GB2312"/>
          <w:color w:val="auto"/>
          <w:sz w:val="28"/>
          <w:szCs w:val="28"/>
          <w:highlight w:val="none"/>
        </w:rPr>
        <w:t xml:space="preserve"> 日</w:t>
      </w:r>
    </w:p>
    <w:p w14:paraId="16AB4CE7">
      <w:pPr>
        <w:spacing w:line="360" w:lineRule="auto"/>
        <w:jc w:val="right"/>
        <w:rPr>
          <w:rFonts w:eastAsia="等线"/>
          <w:color w:val="auto"/>
          <w:highlight w:val="none"/>
        </w:rPr>
      </w:pPr>
    </w:p>
    <w:sectPr>
      <w:pgSz w:w="11906" w:h="16838"/>
      <w:pgMar w:top="1440" w:right="1361" w:bottom="1440"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84664B-83A1-4B6F-9041-5879544A3E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25E42601-DF2D-4CF5-9A22-76FC8DE2A1FF}"/>
  </w:font>
  <w:font w:name="微软雅黑">
    <w:panose1 w:val="020B0503020204020204"/>
    <w:charset w:val="86"/>
    <w:family w:val="auto"/>
    <w:pitch w:val="default"/>
    <w:sig w:usb0="80000287" w:usb1="2ACF3C50" w:usb2="00000016" w:usb3="00000000" w:csb0="0004001F" w:csb1="00000000"/>
    <w:embedRegular r:id="rId3" w:fontKey="{2A255AE3-986F-4766-85CD-6EE59080C837}"/>
  </w:font>
  <w:font w:name="仿宋_GB2312">
    <w:panose1 w:val="02010609030101010101"/>
    <w:charset w:val="86"/>
    <w:family w:val="modern"/>
    <w:pitch w:val="default"/>
    <w:sig w:usb0="00000001" w:usb1="080E0000" w:usb2="00000000" w:usb3="00000000" w:csb0="00040000" w:csb1="00000000"/>
    <w:embedRegular r:id="rId4" w:fontKey="{A1A20F6B-2F95-4EC7-9550-B2D0EF8F1C1A}"/>
  </w:font>
  <w:font w:name="仿宋">
    <w:panose1 w:val="02010609060101010101"/>
    <w:charset w:val="86"/>
    <w:family w:val="modern"/>
    <w:pitch w:val="default"/>
    <w:sig w:usb0="800002BF" w:usb1="38CF7CFA" w:usb2="00000016" w:usb3="00000000" w:csb0="00040001" w:csb1="00000000"/>
    <w:embedRegular r:id="rId5" w:fontKey="{FF2C4BB7-1904-4C7B-B505-483E3EEDAAA6}"/>
  </w:font>
  <w:font w:name="楷体">
    <w:panose1 w:val="02010609060101010101"/>
    <w:charset w:val="86"/>
    <w:family w:val="modern"/>
    <w:pitch w:val="default"/>
    <w:sig w:usb0="800002BF" w:usb1="38CF7CFA" w:usb2="00000016" w:usb3="00000000" w:csb0="00040001" w:csb1="00000000"/>
    <w:embedRegular r:id="rId6" w:fontKey="{DBE0454A-4BCB-4A5C-BDAB-898D60DA1C6A}"/>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1D742D"/>
    <w:multiLevelType w:val="singleLevel"/>
    <w:tmpl w:val="681D742D"/>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cyNzI0MzGzNLe0tDBW0lEKTi0uzszPAykwqgUADp1CIywAAAA="/>
    <w:docVar w:name="commondata" w:val="eyJoZGlkIjoiZTEwNDYzY2VlZDE3MjNkMDJkMDU4MmYxYTk5MzkwYzIifQ=="/>
  </w:docVars>
  <w:rsids>
    <w:rsidRoot w:val="00EC4A7A"/>
    <w:rsid w:val="000004C8"/>
    <w:rsid w:val="00001D4C"/>
    <w:rsid w:val="00013F69"/>
    <w:rsid w:val="0002387A"/>
    <w:rsid w:val="00032EC2"/>
    <w:rsid w:val="0003301E"/>
    <w:rsid w:val="00041D2D"/>
    <w:rsid w:val="000423AE"/>
    <w:rsid w:val="000462CA"/>
    <w:rsid w:val="00053723"/>
    <w:rsid w:val="00060C0A"/>
    <w:rsid w:val="00061028"/>
    <w:rsid w:val="000650F0"/>
    <w:rsid w:val="00065462"/>
    <w:rsid w:val="000665F6"/>
    <w:rsid w:val="00067527"/>
    <w:rsid w:val="00071FC0"/>
    <w:rsid w:val="0007558A"/>
    <w:rsid w:val="00076B30"/>
    <w:rsid w:val="00076F9D"/>
    <w:rsid w:val="000770E3"/>
    <w:rsid w:val="00083178"/>
    <w:rsid w:val="000837DA"/>
    <w:rsid w:val="00084676"/>
    <w:rsid w:val="00084F82"/>
    <w:rsid w:val="00085AF8"/>
    <w:rsid w:val="0008605D"/>
    <w:rsid w:val="00095EC7"/>
    <w:rsid w:val="000A2111"/>
    <w:rsid w:val="000A4785"/>
    <w:rsid w:val="000B188D"/>
    <w:rsid w:val="000B4C7D"/>
    <w:rsid w:val="000B679C"/>
    <w:rsid w:val="000B7CDE"/>
    <w:rsid w:val="000C0BB9"/>
    <w:rsid w:val="000C36C0"/>
    <w:rsid w:val="000D125D"/>
    <w:rsid w:val="000D5AFC"/>
    <w:rsid w:val="000F1C53"/>
    <w:rsid w:val="000F5B32"/>
    <w:rsid w:val="001067A8"/>
    <w:rsid w:val="001109F6"/>
    <w:rsid w:val="00113FA4"/>
    <w:rsid w:val="00116FF5"/>
    <w:rsid w:val="00120021"/>
    <w:rsid w:val="00121F49"/>
    <w:rsid w:val="001220B3"/>
    <w:rsid w:val="00122D53"/>
    <w:rsid w:val="00124D72"/>
    <w:rsid w:val="00133458"/>
    <w:rsid w:val="0013779E"/>
    <w:rsid w:val="001434C0"/>
    <w:rsid w:val="0014741B"/>
    <w:rsid w:val="001561C8"/>
    <w:rsid w:val="001565B8"/>
    <w:rsid w:val="001643D9"/>
    <w:rsid w:val="00166EA5"/>
    <w:rsid w:val="00175BE6"/>
    <w:rsid w:val="0018353C"/>
    <w:rsid w:val="001868A1"/>
    <w:rsid w:val="00196A6B"/>
    <w:rsid w:val="001A2DFE"/>
    <w:rsid w:val="001B0AD8"/>
    <w:rsid w:val="001B19BB"/>
    <w:rsid w:val="001B7070"/>
    <w:rsid w:val="001D6B11"/>
    <w:rsid w:val="001D76ED"/>
    <w:rsid w:val="001E0052"/>
    <w:rsid w:val="001E279D"/>
    <w:rsid w:val="001E458B"/>
    <w:rsid w:val="00210455"/>
    <w:rsid w:val="00210FB3"/>
    <w:rsid w:val="00217BA6"/>
    <w:rsid w:val="00224A56"/>
    <w:rsid w:val="00226DA9"/>
    <w:rsid w:val="00233B91"/>
    <w:rsid w:val="0024247A"/>
    <w:rsid w:val="002442A1"/>
    <w:rsid w:val="00245887"/>
    <w:rsid w:val="002471FC"/>
    <w:rsid w:val="0025093C"/>
    <w:rsid w:val="002535EB"/>
    <w:rsid w:val="0026470C"/>
    <w:rsid w:val="0027051C"/>
    <w:rsid w:val="0027370F"/>
    <w:rsid w:val="002740A2"/>
    <w:rsid w:val="002765A2"/>
    <w:rsid w:val="00282C7A"/>
    <w:rsid w:val="00285A30"/>
    <w:rsid w:val="00285F1C"/>
    <w:rsid w:val="00290E66"/>
    <w:rsid w:val="002A1EEC"/>
    <w:rsid w:val="002A3E05"/>
    <w:rsid w:val="002B418A"/>
    <w:rsid w:val="002B750D"/>
    <w:rsid w:val="002C04C0"/>
    <w:rsid w:val="002C38C5"/>
    <w:rsid w:val="002C583D"/>
    <w:rsid w:val="002C77DA"/>
    <w:rsid w:val="002F4669"/>
    <w:rsid w:val="002F4C2B"/>
    <w:rsid w:val="00302DC0"/>
    <w:rsid w:val="00303495"/>
    <w:rsid w:val="00311DC6"/>
    <w:rsid w:val="0031338C"/>
    <w:rsid w:val="00316B22"/>
    <w:rsid w:val="00321A5E"/>
    <w:rsid w:val="00330FE7"/>
    <w:rsid w:val="00331F15"/>
    <w:rsid w:val="0033236D"/>
    <w:rsid w:val="00335980"/>
    <w:rsid w:val="00336030"/>
    <w:rsid w:val="003376C9"/>
    <w:rsid w:val="00341988"/>
    <w:rsid w:val="00352A1C"/>
    <w:rsid w:val="00353C36"/>
    <w:rsid w:val="00355122"/>
    <w:rsid w:val="003564D9"/>
    <w:rsid w:val="003723A5"/>
    <w:rsid w:val="003729DF"/>
    <w:rsid w:val="00372C06"/>
    <w:rsid w:val="00372D59"/>
    <w:rsid w:val="00377BFA"/>
    <w:rsid w:val="00385A3D"/>
    <w:rsid w:val="003912E2"/>
    <w:rsid w:val="00396137"/>
    <w:rsid w:val="003A0B6D"/>
    <w:rsid w:val="003A4417"/>
    <w:rsid w:val="003A4638"/>
    <w:rsid w:val="003A50CA"/>
    <w:rsid w:val="003A6E0C"/>
    <w:rsid w:val="003B266A"/>
    <w:rsid w:val="003C1432"/>
    <w:rsid w:val="003C2294"/>
    <w:rsid w:val="003C60AA"/>
    <w:rsid w:val="003E055B"/>
    <w:rsid w:val="003E1F90"/>
    <w:rsid w:val="003E2EE2"/>
    <w:rsid w:val="003E6FC9"/>
    <w:rsid w:val="003F0491"/>
    <w:rsid w:val="003F50EE"/>
    <w:rsid w:val="004018E2"/>
    <w:rsid w:val="00407567"/>
    <w:rsid w:val="00411FDF"/>
    <w:rsid w:val="004162CD"/>
    <w:rsid w:val="00417C31"/>
    <w:rsid w:val="00417CB9"/>
    <w:rsid w:val="0042414A"/>
    <w:rsid w:val="0043027F"/>
    <w:rsid w:val="0043162C"/>
    <w:rsid w:val="00431AB9"/>
    <w:rsid w:val="0043403D"/>
    <w:rsid w:val="004444DA"/>
    <w:rsid w:val="00451611"/>
    <w:rsid w:val="004522A1"/>
    <w:rsid w:val="00462913"/>
    <w:rsid w:val="00464EBD"/>
    <w:rsid w:val="00471CD4"/>
    <w:rsid w:val="004720B6"/>
    <w:rsid w:val="00473246"/>
    <w:rsid w:val="00476375"/>
    <w:rsid w:val="00477E0C"/>
    <w:rsid w:val="004844F4"/>
    <w:rsid w:val="004A0122"/>
    <w:rsid w:val="004A055C"/>
    <w:rsid w:val="004A52CB"/>
    <w:rsid w:val="004B1802"/>
    <w:rsid w:val="004C1B57"/>
    <w:rsid w:val="004C2C80"/>
    <w:rsid w:val="004D18FA"/>
    <w:rsid w:val="004D2927"/>
    <w:rsid w:val="004D3736"/>
    <w:rsid w:val="004D6063"/>
    <w:rsid w:val="005034B4"/>
    <w:rsid w:val="005044BA"/>
    <w:rsid w:val="0050657F"/>
    <w:rsid w:val="00506FB5"/>
    <w:rsid w:val="005077F0"/>
    <w:rsid w:val="005101BC"/>
    <w:rsid w:val="00514849"/>
    <w:rsid w:val="005267F4"/>
    <w:rsid w:val="00534513"/>
    <w:rsid w:val="00541FC2"/>
    <w:rsid w:val="00545A19"/>
    <w:rsid w:val="00545F47"/>
    <w:rsid w:val="00545F62"/>
    <w:rsid w:val="00555829"/>
    <w:rsid w:val="00555A42"/>
    <w:rsid w:val="00567638"/>
    <w:rsid w:val="005707FF"/>
    <w:rsid w:val="00572F43"/>
    <w:rsid w:val="00577431"/>
    <w:rsid w:val="00581B1A"/>
    <w:rsid w:val="005A36CF"/>
    <w:rsid w:val="005B109B"/>
    <w:rsid w:val="005B4928"/>
    <w:rsid w:val="005B6FAF"/>
    <w:rsid w:val="005C6F1E"/>
    <w:rsid w:val="005D1FC1"/>
    <w:rsid w:val="005D79A0"/>
    <w:rsid w:val="005D7C00"/>
    <w:rsid w:val="005D7FB2"/>
    <w:rsid w:val="005E25F8"/>
    <w:rsid w:val="005E3655"/>
    <w:rsid w:val="005E549A"/>
    <w:rsid w:val="005F40AC"/>
    <w:rsid w:val="005F5345"/>
    <w:rsid w:val="005F5497"/>
    <w:rsid w:val="006113D7"/>
    <w:rsid w:val="006179CC"/>
    <w:rsid w:val="00623360"/>
    <w:rsid w:val="00624BC5"/>
    <w:rsid w:val="006448B3"/>
    <w:rsid w:val="00644A41"/>
    <w:rsid w:val="00655627"/>
    <w:rsid w:val="00655983"/>
    <w:rsid w:val="0066437B"/>
    <w:rsid w:val="006669C0"/>
    <w:rsid w:val="00666B3E"/>
    <w:rsid w:val="00666DB2"/>
    <w:rsid w:val="00684775"/>
    <w:rsid w:val="00684C9D"/>
    <w:rsid w:val="00690AC5"/>
    <w:rsid w:val="006961B7"/>
    <w:rsid w:val="006979E5"/>
    <w:rsid w:val="006A2220"/>
    <w:rsid w:val="006A62DD"/>
    <w:rsid w:val="006B1EE5"/>
    <w:rsid w:val="006C1FF0"/>
    <w:rsid w:val="006D6E54"/>
    <w:rsid w:val="006E15D3"/>
    <w:rsid w:val="006E19C9"/>
    <w:rsid w:val="006E3A35"/>
    <w:rsid w:val="006E4F11"/>
    <w:rsid w:val="00702A90"/>
    <w:rsid w:val="00704133"/>
    <w:rsid w:val="00706042"/>
    <w:rsid w:val="00710944"/>
    <w:rsid w:val="00711202"/>
    <w:rsid w:val="00713E05"/>
    <w:rsid w:val="00724083"/>
    <w:rsid w:val="00733F17"/>
    <w:rsid w:val="007353BD"/>
    <w:rsid w:val="00737695"/>
    <w:rsid w:val="00740793"/>
    <w:rsid w:val="007432B3"/>
    <w:rsid w:val="007434B2"/>
    <w:rsid w:val="00751251"/>
    <w:rsid w:val="00763BB4"/>
    <w:rsid w:val="00764A00"/>
    <w:rsid w:val="00767ABC"/>
    <w:rsid w:val="00771C2A"/>
    <w:rsid w:val="007742F4"/>
    <w:rsid w:val="00775703"/>
    <w:rsid w:val="00782A04"/>
    <w:rsid w:val="00785CF7"/>
    <w:rsid w:val="00791563"/>
    <w:rsid w:val="007928EB"/>
    <w:rsid w:val="00792B53"/>
    <w:rsid w:val="00797ACE"/>
    <w:rsid w:val="007A36C0"/>
    <w:rsid w:val="007B074B"/>
    <w:rsid w:val="007B4419"/>
    <w:rsid w:val="007B71B8"/>
    <w:rsid w:val="007C4D77"/>
    <w:rsid w:val="007E06C8"/>
    <w:rsid w:val="007E0D5F"/>
    <w:rsid w:val="007E38B0"/>
    <w:rsid w:val="007E5D67"/>
    <w:rsid w:val="007F2F24"/>
    <w:rsid w:val="007F3E54"/>
    <w:rsid w:val="00800970"/>
    <w:rsid w:val="00803623"/>
    <w:rsid w:val="00816724"/>
    <w:rsid w:val="0082418F"/>
    <w:rsid w:val="00825563"/>
    <w:rsid w:val="00831BA6"/>
    <w:rsid w:val="008349B5"/>
    <w:rsid w:val="00837ED8"/>
    <w:rsid w:val="00847A7B"/>
    <w:rsid w:val="00853182"/>
    <w:rsid w:val="008545D8"/>
    <w:rsid w:val="00854C0C"/>
    <w:rsid w:val="00856569"/>
    <w:rsid w:val="00862CB0"/>
    <w:rsid w:val="00863594"/>
    <w:rsid w:val="00876A7D"/>
    <w:rsid w:val="00881FC4"/>
    <w:rsid w:val="00890CC1"/>
    <w:rsid w:val="008A758A"/>
    <w:rsid w:val="008B1DDC"/>
    <w:rsid w:val="008C1EAC"/>
    <w:rsid w:val="008C23F7"/>
    <w:rsid w:val="008D19C0"/>
    <w:rsid w:val="008D5BD5"/>
    <w:rsid w:val="008E55F0"/>
    <w:rsid w:val="008E6A64"/>
    <w:rsid w:val="008F1725"/>
    <w:rsid w:val="008F76A3"/>
    <w:rsid w:val="009041F8"/>
    <w:rsid w:val="009106E1"/>
    <w:rsid w:val="009156CE"/>
    <w:rsid w:val="0092124F"/>
    <w:rsid w:val="00930581"/>
    <w:rsid w:val="00931ED7"/>
    <w:rsid w:val="00932859"/>
    <w:rsid w:val="009368AA"/>
    <w:rsid w:val="009371A5"/>
    <w:rsid w:val="00941D2E"/>
    <w:rsid w:val="00946F88"/>
    <w:rsid w:val="00947DD6"/>
    <w:rsid w:val="00953F2E"/>
    <w:rsid w:val="00956392"/>
    <w:rsid w:val="009565D7"/>
    <w:rsid w:val="00962727"/>
    <w:rsid w:val="00964CCA"/>
    <w:rsid w:val="00965162"/>
    <w:rsid w:val="00965F6E"/>
    <w:rsid w:val="009723CF"/>
    <w:rsid w:val="00973D3C"/>
    <w:rsid w:val="00976166"/>
    <w:rsid w:val="00980F2A"/>
    <w:rsid w:val="00983A89"/>
    <w:rsid w:val="00985FEB"/>
    <w:rsid w:val="009925AF"/>
    <w:rsid w:val="0099321C"/>
    <w:rsid w:val="009A3FDD"/>
    <w:rsid w:val="009A5F3D"/>
    <w:rsid w:val="009C2104"/>
    <w:rsid w:val="009C5CD5"/>
    <w:rsid w:val="009D60B5"/>
    <w:rsid w:val="009E0EDE"/>
    <w:rsid w:val="009E1861"/>
    <w:rsid w:val="009E20F0"/>
    <w:rsid w:val="009E3B2E"/>
    <w:rsid w:val="009F3B5A"/>
    <w:rsid w:val="00A00591"/>
    <w:rsid w:val="00A030B7"/>
    <w:rsid w:val="00A17F69"/>
    <w:rsid w:val="00A20959"/>
    <w:rsid w:val="00A255C0"/>
    <w:rsid w:val="00A268C4"/>
    <w:rsid w:val="00A36790"/>
    <w:rsid w:val="00A453F9"/>
    <w:rsid w:val="00A45F3B"/>
    <w:rsid w:val="00A4627D"/>
    <w:rsid w:val="00A52046"/>
    <w:rsid w:val="00A57422"/>
    <w:rsid w:val="00A63B82"/>
    <w:rsid w:val="00A67B09"/>
    <w:rsid w:val="00A70D2A"/>
    <w:rsid w:val="00A80121"/>
    <w:rsid w:val="00A83604"/>
    <w:rsid w:val="00A84049"/>
    <w:rsid w:val="00A85DFE"/>
    <w:rsid w:val="00A867F0"/>
    <w:rsid w:val="00A91277"/>
    <w:rsid w:val="00A95B08"/>
    <w:rsid w:val="00AA2E7F"/>
    <w:rsid w:val="00AA34F3"/>
    <w:rsid w:val="00AB1852"/>
    <w:rsid w:val="00AB31E5"/>
    <w:rsid w:val="00AB5D20"/>
    <w:rsid w:val="00AB64A6"/>
    <w:rsid w:val="00AB6578"/>
    <w:rsid w:val="00AC481F"/>
    <w:rsid w:val="00AC6F57"/>
    <w:rsid w:val="00AD2470"/>
    <w:rsid w:val="00AD5241"/>
    <w:rsid w:val="00AD5802"/>
    <w:rsid w:val="00AE00AD"/>
    <w:rsid w:val="00AE2286"/>
    <w:rsid w:val="00AE2D7E"/>
    <w:rsid w:val="00AF05F9"/>
    <w:rsid w:val="00B03D2B"/>
    <w:rsid w:val="00B051DB"/>
    <w:rsid w:val="00B166BE"/>
    <w:rsid w:val="00B17B89"/>
    <w:rsid w:val="00B22D1F"/>
    <w:rsid w:val="00B22FCB"/>
    <w:rsid w:val="00B23EAC"/>
    <w:rsid w:val="00B259E3"/>
    <w:rsid w:val="00B269EE"/>
    <w:rsid w:val="00B450EF"/>
    <w:rsid w:val="00B6069A"/>
    <w:rsid w:val="00B640DF"/>
    <w:rsid w:val="00B64599"/>
    <w:rsid w:val="00B64A54"/>
    <w:rsid w:val="00B7144A"/>
    <w:rsid w:val="00B907ED"/>
    <w:rsid w:val="00B94AD5"/>
    <w:rsid w:val="00B96393"/>
    <w:rsid w:val="00B964ED"/>
    <w:rsid w:val="00BA103B"/>
    <w:rsid w:val="00BA35FB"/>
    <w:rsid w:val="00BA46F3"/>
    <w:rsid w:val="00BA4929"/>
    <w:rsid w:val="00BB05AD"/>
    <w:rsid w:val="00BB1A8D"/>
    <w:rsid w:val="00BB400D"/>
    <w:rsid w:val="00BB6367"/>
    <w:rsid w:val="00BB7A86"/>
    <w:rsid w:val="00BC1DA8"/>
    <w:rsid w:val="00BD7485"/>
    <w:rsid w:val="00BD74E3"/>
    <w:rsid w:val="00BE0668"/>
    <w:rsid w:val="00BE1422"/>
    <w:rsid w:val="00BE3753"/>
    <w:rsid w:val="00BE3FCF"/>
    <w:rsid w:val="00C01324"/>
    <w:rsid w:val="00C01C95"/>
    <w:rsid w:val="00C04C76"/>
    <w:rsid w:val="00C103E5"/>
    <w:rsid w:val="00C13F0C"/>
    <w:rsid w:val="00C147EE"/>
    <w:rsid w:val="00C20E74"/>
    <w:rsid w:val="00C3635F"/>
    <w:rsid w:val="00C36FA9"/>
    <w:rsid w:val="00C40541"/>
    <w:rsid w:val="00C44A11"/>
    <w:rsid w:val="00C470E9"/>
    <w:rsid w:val="00C5013C"/>
    <w:rsid w:val="00C51EFA"/>
    <w:rsid w:val="00C524CB"/>
    <w:rsid w:val="00C551FC"/>
    <w:rsid w:val="00C55762"/>
    <w:rsid w:val="00C65357"/>
    <w:rsid w:val="00C66A55"/>
    <w:rsid w:val="00C72473"/>
    <w:rsid w:val="00C729D9"/>
    <w:rsid w:val="00C759BE"/>
    <w:rsid w:val="00C832C6"/>
    <w:rsid w:val="00C8349D"/>
    <w:rsid w:val="00C8440C"/>
    <w:rsid w:val="00C8558A"/>
    <w:rsid w:val="00C85BDD"/>
    <w:rsid w:val="00C91979"/>
    <w:rsid w:val="00C91B20"/>
    <w:rsid w:val="00C91B8C"/>
    <w:rsid w:val="00C92B97"/>
    <w:rsid w:val="00C943E8"/>
    <w:rsid w:val="00C954F8"/>
    <w:rsid w:val="00C96C45"/>
    <w:rsid w:val="00CA2B10"/>
    <w:rsid w:val="00CA7265"/>
    <w:rsid w:val="00CC173D"/>
    <w:rsid w:val="00CC3D24"/>
    <w:rsid w:val="00CD408E"/>
    <w:rsid w:val="00CD7E68"/>
    <w:rsid w:val="00CF700A"/>
    <w:rsid w:val="00D057B6"/>
    <w:rsid w:val="00D06342"/>
    <w:rsid w:val="00D071E1"/>
    <w:rsid w:val="00D131D5"/>
    <w:rsid w:val="00D16678"/>
    <w:rsid w:val="00D21DF6"/>
    <w:rsid w:val="00D23D31"/>
    <w:rsid w:val="00D2654A"/>
    <w:rsid w:val="00D303DF"/>
    <w:rsid w:val="00D42EE2"/>
    <w:rsid w:val="00D475F5"/>
    <w:rsid w:val="00D50485"/>
    <w:rsid w:val="00D5063B"/>
    <w:rsid w:val="00D51739"/>
    <w:rsid w:val="00D51A60"/>
    <w:rsid w:val="00D63D1A"/>
    <w:rsid w:val="00D64253"/>
    <w:rsid w:val="00D64F47"/>
    <w:rsid w:val="00D6511D"/>
    <w:rsid w:val="00D67B7B"/>
    <w:rsid w:val="00D67CCE"/>
    <w:rsid w:val="00D70A99"/>
    <w:rsid w:val="00D73430"/>
    <w:rsid w:val="00D7694C"/>
    <w:rsid w:val="00D84818"/>
    <w:rsid w:val="00D85C23"/>
    <w:rsid w:val="00D8770E"/>
    <w:rsid w:val="00DA0FE8"/>
    <w:rsid w:val="00DB1E95"/>
    <w:rsid w:val="00DB211C"/>
    <w:rsid w:val="00DB6953"/>
    <w:rsid w:val="00DB7893"/>
    <w:rsid w:val="00DD3D94"/>
    <w:rsid w:val="00DD4D00"/>
    <w:rsid w:val="00DE2452"/>
    <w:rsid w:val="00DF5B53"/>
    <w:rsid w:val="00DF6B84"/>
    <w:rsid w:val="00DF6F0F"/>
    <w:rsid w:val="00DF6FCB"/>
    <w:rsid w:val="00E1505C"/>
    <w:rsid w:val="00E1744D"/>
    <w:rsid w:val="00E21073"/>
    <w:rsid w:val="00E25339"/>
    <w:rsid w:val="00E42EE0"/>
    <w:rsid w:val="00E55278"/>
    <w:rsid w:val="00E55D2C"/>
    <w:rsid w:val="00E60C26"/>
    <w:rsid w:val="00E62193"/>
    <w:rsid w:val="00E77E4F"/>
    <w:rsid w:val="00E80C7E"/>
    <w:rsid w:val="00E82A5B"/>
    <w:rsid w:val="00E82F89"/>
    <w:rsid w:val="00E83419"/>
    <w:rsid w:val="00E85E6C"/>
    <w:rsid w:val="00E873B6"/>
    <w:rsid w:val="00EB5DA5"/>
    <w:rsid w:val="00EB6E6B"/>
    <w:rsid w:val="00EC1B13"/>
    <w:rsid w:val="00EC3564"/>
    <w:rsid w:val="00EC4A7A"/>
    <w:rsid w:val="00EC7D8E"/>
    <w:rsid w:val="00EE2815"/>
    <w:rsid w:val="00EE43FA"/>
    <w:rsid w:val="00EF0A42"/>
    <w:rsid w:val="00EF42B0"/>
    <w:rsid w:val="00EF5D82"/>
    <w:rsid w:val="00F01F87"/>
    <w:rsid w:val="00F02AEB"/>
    <w:rsid w:val="00F05F56"/>
    <w:rsid w:val="00F078CB"/>
    <w:rsid w:val="00F10BF2"/>
    <w:rsid w:val="00F1182A"/>
    <w:rsid w:val="00F24CF6"/>
    <w:rsid w:val="00F255EA"/>
    <w:rsid w:val="00F2647B"/>
    <w:rsid w:val="00F33516"/>
    <w:rsid w:val="00F35358"/>
    <w:rsid w:val="00F35BFA"/>
    <w:rsid w:val="00F35C6C"/>
    <w:rsid w:val="00F42447"/>
    <w:rsid w:val="00F478AD"/>
    <w:rsid w:val="00F50F75"/>
    <w:rsid w:val="00F66389"/>
    <w:rsid w:val="00F71513"/>
    <w:rsid w:val="00F73495"/>
    <w:rsid w:val="00F75B25"/>
    <w:rsid w:val="00F80860"/>
    <w:rsid w:val="00F80ABF"/>
    <w:rsid w:val="00FA6F53"/>
    <w:rsid w:val="00FB14CD"/>
    <w:rsid w:val="00FB2A70"/>
    <w:rsid w:val="00FB2F32"/>
    <w:rsid w:val="00FC09F4"/>
    <w:rsid w:val="00FC1DDE"/>
    <w:rsid w:val="00FC3871"/>
    <w:rsid w:val="00FC4176"/>
    <w:rsid w:val="00FC5417"/>
    <w:rsid w:val="00FE057E"/>
    <w:rsid w:val="00FE1C23"/>
    <w:rsid w:val="00FE2FB5"/>
    <w:rsid w:val="00FF49EA"/>
    <w:rsid w:val="00FF5457"/>
    <w:rsid w:val="00FF7077"/>
    <w:rsid w:val="015A390A"/>
    <w:rsid w:val="037946D6"/>
    <w:rsid w:val="03A46041"/>
    <w:rsid w:val="04B332B4"/>
    <w:rsid w:val="05126B54"/>
    <w:rsid w:val="058A4E6A"/>
    <w:rsid w:val="07664294"/>
    <w:rsid w:val="08433820"/>
    <w:rsid w:val="09003105"/>
    <w:rsid w:val="0A4A6971"/>
    <w:rsid w:val="0A887EEE"/>
    <w:rsid w:val="0BC318A3"/>
    <w:rsid w:val="0E545297"/>
    <w:rsid w:val="0EE26D46"/>
    <w:rsid w:val="0F022F45"/>
    <w:rsid w:val="11160F29"/>
    <w:rsid w:val="1157279B"/>
    <w:rsid w:val="12CC1B8A"/>
    <w:rsid w:val="13D76C5A"/>
    <w:rsid w:val="15780A99"/>
    <w:rsid w:val="159F154C"/>
    <w:rsid w:val="15F31839"/>
    <w:rsid w:val="163A6938"/>
    <w:rsid w:val="16A80F0A"/>
    <w:rsid w:val="16B34F7A"/>
    <w:rsid w:val="18312C10"/>
    <w:rsid w:val="193E2C6B"/>
    <w:rsid w:val="1A7B4A38"/>
    <w:rsid w:val="1B6D1256"/>
    <w:rsid w:val="1C991009"/>
    <w:rsid w:val="1CA90EA4"/>
    <w:rsid w:val="1E491FB2"/>
    <w:rsid w:val="1EA25B65"/>
    <w:rsid w:val="1EA43575"/>
    <w:rsid w:val="1FD66163"/>
    <w:rsid w:val="21866F02"/>
    <w:rsid w:val="218A33B2"/>
    <w:rsid w:val="22161003"/>
    <w:rsid w:val="222F09C5"/>
    <w:rsid w:val="23541AF4"/>
    <w:rsid w:val="244D09C3"/>
    <w:rsid w:val="24C96265"/>
    <w:rsid w:val="24D14DD7"/>
    <w:rsid w:val="25162012"/>
    <w:rsid w:val="25E658C3"/>
    <w:rsid w:val="25ED319C"/>
    <w:rsid w:val="26856D36"/>
    <w:rsid w:val="28E46A5E"/>
    <w:rsid w:val="28EA19CB"/>
    <w:rsid w:val="29246ABB"/>
    <w:rsid w:val="29FF761D"/>
    <w:rsid w:val="2E0A3019"/>
    <w:rsid w:val="30676C54"/>
    <w:rsid w:val="31C75126"/>
    <w:rsid w:val="32725326"/>
    <w:rsid w:val="33E40F52"/>
    <w:rsid w:val="35B71E0A"/>
    <w:rsid w:val="36596E95"/>
    <w:rsid w:val="37A351C6"/>
    <w:rsid w:val="38384BDF"/>
    <w:rsid w:val="38CE5AC2"/>
    <w:rsid w:val="3A5E2974"/>
    <w:rsid w:val="3AD25EE6"/>
    <w:rsid w:val="3B4C2CCE"/>
    <w:rsid w:val="3B93162F"/>
    <w:rsid w:val="3C370020"/>
    <w:rsid w:val="3C7C75E3"/>
    <w:rsid w:val="3D842BF3"/>
    <w:rsid w:val="3E4B7E31"/>
    <w:rsid w:val="3ED56BE8"/>
    <w:rsid w:val="3EEB27FE"/>
    <w:rsid w:val="3F8B3982"/>
    <w:rsid w:val="3F94519F"/>
    <w:rsid w:val="440E587D"/>
    <w:rsid w:val="45980F34"/>
    <w:rsid w:val="459B3CB8"/>
    <w:rsid w:val="45F000D0"/>
    <w:rsid w:val="463A43FC"/>
    <w:rsid w:val="46491A8A"/>
    <w:rsid w:val="46F02A8B"/>
    <w:rsid w:val="49B64550"/>
    <w:rsid w:val="4A897389"/>
    <w:rsid w:val="4B9D42C3"/>
    <w:rsid w:val="4C6A2748"/>
    <w:rsid w:val="50E90E4D"/>
    <w:rsid w:val="51A0391C"/>
    <w:rsid w:val="51A64B48"/>
    <w:rsid w:val="522E10DA"/>
    <w:rsid w:val="52A0325C"/>
    <w:rsid w:val="5408362E"/>
    <w:rsid w:val="546B0211"/>
    <w:rsid w:val="54CC4E94"/>
    <w:rsid w:val="564513C8"/>
    <w:rsid w:val="56495C72"/>
    <w:rsid w:val="56776F8E"/>
    <w:rsid w:val="56970EAC"/>
    <w:rsid w:val="56BA722E"/>
    <w:rsid w:val="56C04251"/>
    <w:rsid w:val="571F0C30"/>
    <w:rsid w:val="57425668"/>
    <w:rsid w:val="57A34234"/>
    <w:rsid w:val="5C26403A"/>
    <w:rsid w:val="5C6E4D42"/>
    <w:rsid w:val="5CF41C3B"/>
    <w:rsid w:val="5D8F082D"/>
    <w:rsid w:val="5E764AC7"/>
    <w:rsid w:val="5EF45E5B"/>
    <w:rsid w:val="5F5F5908"/>
    <w:rsid w:val="607C2B27"/>
    <w:rsid w:val="61AF7CB6"/>
    <w:rsid w:val="61E04C19"/>
    <w:rsid w:val="63235F60"/>
    <w:rsid w:val="64612774"/>
    <w:rsid w:val="64DD6D59"/>
    <w:rsid w:val="65194B65"/>
    <w:rsid w:val="65395EE5"/>
    <w:rsid w:val="66970304"/>
    <w:rsid w:val="671D45D4"/>
    <w:rsid w:val="67C77A4C"/>
    <w:rsid w:val="680D64BD"/>
    <w:rsid w:val="68431AF7"/>
    <w:rsid w:val="6855023B"/>
    <w:rsid w:val="68E07CE8"/>
    <w:rsid w:val="68EA280D"/>
    <w:rsid w:val="6AA81580"/>
    <w:rsid w:val="6F2B4197"/>
    <w:rsid w:val="72B2546E"/>
    <w:rsid w:val="72C11AAB"/>
    <w:rsid w:val="73C1083E"/>
    <w:rsid w:val="74E164A9"/>
    <w:rsid w:val="7537110E"/>
    <w:rsid w:val="758B2FAB"/>
    <w:rsid w:val="768014A2"/>
    <w:rsid w:val="76982C90"/>
    <w:rsid w:val="775C1EB9"/>
    <w:rsid w:val="78511434"/>
    <w:rsid w:val="78925727"/>
    <w:rsid w:val="78A250D4"/>
    <w:rsid w:val="794F0D84"/>
    <w:rsid w:val="79DA65D2"/>
    <w:rsid w:val="7AA94228"/>
    <w:rsid w:val="7AE9069F"/>
    <w:rsid w:val="7B3D3B4B"/>
    <w:rsid w:val="7B917DA3"/>
    <w:rsid w:val="7BB218B5"/>
    <w:rsid w:val="7E1B720C"/>
    <w:rsid w:val="7F5B6FC3"/>
    <w:rsid w:val="7FDE69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semiHidden/>
    <w:unhideWhenUsed/>
    <w:qFormat/>
    <w:uiPriority w:val="99"/>
    <w:pPr>
      <w:spacing w:after="120" w:line="480" w:lineRule="auto"/>
      <w:ind w:left="420" w:leftChars="200"/>
    </w:pPr>
  </w:style>
  <w:style w:type="paragraph" w:styleId="3">
    <w:name w:val="Normal Indent"/>
    <w:basedOn w:val="1"/>
    <w:qFormat/>
    <w:uiPriority w:val="0"/>
    <w:pPr>
      <w:adjustRightInd w:val="0"/>
      <w:ind w:firstLine="200" w:firstLineChars="200"/>
      <w:textAlignment w:val="baseline"/>
    </w:pPr>
    <w:rPr>
      <w:rFonts w:ascii="Times New Roman" w:hAnsi="Times New Roman" w:eastAsia="宋体" w:cs="Times New Roman"/>
      <w:szCs w:val="21"/>
    </w:rPr>
  </w:style>
  <w:style w:type="paragraph" w:styleId="4">
    <w:name w:val="annotation text"/>
    <w:basedOn w:val="1"/>
    <w:link w:val="19"/>
    <w:autoRedefine/>
    <w:qFormat/>
    <w:uiPriority w:val="0"/>
    <w:pPr>
      <w:jc w:val="left"/>
    </w:pPr>
  </w:style>
  <w:style w:type="paragraph" w:styleId="5">
    <w:name w:val="Plain Text"/>
    <w:basedOn w:val="1"/>
    <w:autoRedefine/>
    <w:qFormat/>
    <w:uiPriority w:val="0"/>
    <w:rPr>
      <w:rFonts w:ascii="宋体" w:hAnsi="Courier New" w:cs="Courier New"/>
      <w:szCs w:val="21"/>
    </w:rPr>
  </w:style>
  <w:style w:type="paragraph" w:styleId="6">
    <w:name w:val="Balloon Text"/>
    <w:basedOn w:val="1"/>
    <w:link w:val="18"/>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4"/>
    <w:next w:val="4"/>
    <w:link w:val="20"/>
    <w:autoRedefine/>
    <w:qFormat/>
    <w:uiPriority w:val="0"/>
    <w:rPr>
      <w:b/>
      <w:bCs/>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qFormat/>
    <w:uiPriority w:val="0"/>
    <w:rPr>
      <w:sz w:val="21"/>
      <w:szCs w:val="21"/>
    </w:rPr>
  </w:style>
  <w:style w:type="paragraph" w:customStyle="1" w:styleId="15">
    <w:name w:val="Table Paragraph"/>
    <w:basedOn w:val="1"/>
    <w:autoRedefine/>
    <w:qFormat/>
    <w:uiPriority w:val="1"/>
    <w:pPr>
      <w:autoSpaceDE w:val="0"/>
      <w:autoSpaceDN w:val="0"/>
      <w:jc w:val="left"/>
    </w:pPr>
    <w:rPr>
      <w:rFonts w:ascii="Times New Roman" w:hAnsi="Times New Roman" w:eastAsia="Times New Roman" w:cs="Times New Roman"/>
      <w:kern w:val="0"/>
      <w:sz w:val="22"/>
      <w:szCs w:val="22"/>
      <w:lang w:val="zh-CN" w:bidi="zh-CN"/>
    </w:rPr>
  </w:style>
  <w:style w:type="paragraph" w:customStyle="1" w:styleId="16">
    <w:name w:val="Char Char Char Char"/>
    <w:basedOn w:val="1"/>
    <w:qFormat/>
    <w:uiPriority w:val="0"/>
    <w:pPr>
      <w:tabs>
        <w:tab w:val="left" w:pos="425"/>
      </w:tabs>
      <w:ind w:left="425" w:hanging="425"/>
    </w:pPr>
    <w:rPr>
      <w:szCs w:val="20"/>
    </w:rPr>
  </w:style>
  <w:style w:type="paragraph" w:customStyle="1" w:styleId="17">
    <w:name w:val="修订1"/>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8">
    <w:name w:val="批注框文本 字符"/>
    <w:link w:val="6"/>
    <w:autoRedefine/>
    <w:qFormat/>
    <w:uiPriority w:val="0"/>
    <w:rPr>
      <w:kern w:val="2"/>
      <w:sz w:val="18"/>
      <w:szCs w:val="18"/>
    </w:rPr>
  </w:style>
  <w:style w:type="character" w:customStyle="1" w:styleId="19">
    <w:name w:val="批注文字 字符"/>
    <w:link w:val="4"/>
    <w:qFormat/>
    <w:uiPriority w:val="0"/>
    <w:rPr>
      <w:kern w:val="2"/>
      <w:sz w:val="21"/>
      <w:szCs w:val="24"/>
    </w:rPr>
  </w:style>
  <w:style w:type="character" w:customStyle="1" w:styleId="20">
    <w:name w:val="批注主题 字符"/>
    <w:link w:val="10"/>
    <w:autoRedefine/>
    <w:qFormat/>
    <w:uiPriority w:val="0"/>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5282</Words>
  <Characters>7398</Characters>
  <TotalTime>7</TotalTime>
  <ScaleCrop>false</ScaleCrop>
  <LinksUpToDate>false</LinksUpToDate>
  <CharactersWithSpaces>7630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2024-09-05T01:12:00Z</dcterms:created>
  <dc:creator>Dell</dc:creator>
  <cp:lastModifiedBy>侯艳冰</cp:lastModifiedBy>
  <dcterms:modified xsi:type="dcterms:W3CDTF">2026-08-23T16:23:13Z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99B3E2C8734E4200AEDCFDDFAB914AA5_12</vt:lpwstr>
  </property>
  <property fmtid="{D5CDD505-2E9C-101B-9397-08002B2CF9AE}" pid="4" name="KSOTemplateDocerSaveRecord">
    <vt:lpwstr>eyJoZGlkIjoiNTU3NzIzNmViNjZlZmIzZjUwMDVlOTEwMGFkM2ZkYjAiLCJ1c2VySWQiOiIxNjQ5MjQxNTQxIn0=</vt:lpwstr>
  </property>
</Properties>
</file>